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6922" w14:textId="2520EC2E" w:rsidR="00D02811" w:rsidRDefault="00D91B07" w:rsidP="00836831">
      <w:pPr>
        <w:pStyle w:val="Heading1"/>
        <w:ind w:left="1440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11603F" wp14:editId="5A62064C">
            <wp:simplePos x="0" y="0"/>
            <wp:positionH relativeFrom="column">
              <wp:posOffset>6400800</wp:posOffset>
            </wp:positionH>
            <wp:positionV relativeFrom="paragraph">
              <wp:posOffset>-455295</wp:posOffset>
            </wp:positionV>
            <wp:extent cx="3233404" cy="779647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93" b="37494"/>
                    <a:stretch/>
                  </pic:blipFill>
                  <pic:spPr bwMode="auto">
                    <a:xfrm>
                      <a:off x="0" y="0"/>
                      <a:ext cx="3233404" cy="779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39FDA" w14:textId="1A353322" w:rsidR="005A229C" w:rsidRPr="00836831" w:rsidRDefault="005F5D5F" w:rsidP="00D91B07">
      <w:pPr>
        <w:pStyle w:val="Heading1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836831">
        <w:rPr>
          <w:rFonts w:ascii="Arial" w:hAnsi="Arial" w:cs="Arial"/>
          <w:color w:val="000000" w:themeColor="text1"/>
          <w:sz w:val="36"/>
          <w:szCs w:val="36"/>
        </w:rPr>
        <w:t>Document to Support Resolution</w:t>
      </w:r>
      <w:r w:rsidR="00572A80" w:rsidRPr="00836831">
        <w:rPr>
          <w:rFonts w:ascii="Arial" w:hAnsi="Arial" w:cs="Arial"/>
          <w:color w:val="000000" w:themeColor="text1"/>
          <w:sz w:val="36"/>
          <w:szCs w:val="36"/>
        </w:rPr>
        <w:t xml:space="preserve"> of a Local Authority Trading Company (LATCO)</w:t>
      </w:r>
    </w:p>
    <w:p w14:paraId="107C80E8" w14:textId="77EF54E4" w:rsidR="006950B9" w:rsidRDefault="005A229C" w:rsidP="00CB11DC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r w:rsidRPr="00CB11DC">
        <w:rPr>
          <w:rFonts w:ascii="Arial" w:hAnsi="Arial" w:cs="Arial"/>
          <w:b/>
          <w:bCs/>
          <w:sz w:val="28"/>
          <w:szCs w:val="28"/>
        </w:rPr>
        <w:t xml:space="preserve">Kent </w:t>
      </w:r>
      <w:r w:rsidR="00743751" w:rsidRPr="00CB11DC">
        <w:rPr>
          <w:rFonts w:ascii="Arial" w:hAnsi="Arial" w:cs="Arial"/>
          <w:b/>
          <w:bCs/>
          <w:sz w:val="28"/>
          <w:szCs w:val="28"/>
        </w:rPr>
        <w:t>Pension Fund matters to consider when setting up an outsourcing arrangement</w:t>
      </w:r>
      <w:r w:rsidR="00477154">
        <w:rPr>
          <w:rFonts w:ascii="Arial" w:hAnsi="Arial" w:cs="Arial"/>
          <w:b/>
          <w:bCs/>
          <w:sz w:val="28"/>
          <w:szCs w:val="28"/>
        </w:rPr>
        <w:t>.</w:t>
      </w:r>
    </w:p>
    <w:p w14:paraId="2C432F9A" w14:textId="77777777" w:rsidR="006F6287" w:rsidRDefault="006F6287" w:rsidP="005A229C">
      <w:pPr>
        <w:spacing w:after="0"/>
        <w:rPr>
          <w:rFonts w:ascii="Arial" w:hAnsi="Arial" w:cs="Arial"/>
          <w:b/>
        </w:rPr>
      </w:pPr>
    </w:p>
    <w:p w14:paraId="6CA8C5F3" w14:textId="77777777" w:rsidR="00626283" w:rsidRDefault="006F6287" w:rsidP="007F726E">
      <w:pPr>
        <w:jc w:val="center"/>
        <w:rPr>
          <w:rFonts w:ascii="Arial" w:hAnsi="Arial" w:cs="Arial"/>
          <w:bCs/>
        </w:rPr>
      </w:pPr>
      <w:r w:rsidRPr="006F6287">
        <w:rPr>
          <w:rFonts w:ascii="Arial" w:hAnsi="Arial" w:cs="Arial"/>
          <w:bCs/>
        </w:rPr>
        <w:t xml:space="preserve">If you require any assistance, contact </w:t>
      </w:r>
      <w:r w:rsidR="00167FA8" w:rsidRPr="00167FA8">
        <w:rPr>
          <w:rFonts w:ascii="Arial" w:hAnsi="Arial" w:cs="Arial"/>
          <w:bCs/>
          <w:u w:val="single"/>
        </w:rPr>
        <w:t>kentpensionfundgovernance@kent.gov.uk</w:t>
      </w:r>
      <w:r w:rsidRPr="006F6287">
        <w:rPr>
          <w:rFonts w:ascii="Arial" w:hAnsi="Arial" w:cs="Arial"/>
          <w:bCs/>
        </w:rPr>
        <w:t xml:space="preserve"> or call 03000 420 660</w:t>
      </w:r>
      <w:r>
        <w:rPr>
          <w:rFonts w:ascii="Arial" w:hAnsi="Arial" w:cs="Arial"/>
          <w:bCs/>
        </w:rPr>
        <w:t>.</w:t>
      </w:r>
    </w:p>
    <w:p w14:paraId="1369F716" w14:textId="6482D980" w:rsidR="00765220" w:rsidRPr="00626283" w:rsidRDefault="00626283" w:rsidP="007F726E">
      <w:pPr>
        <w:jc w:val="center"/>
        <w:rPr>
          <w:rFonts w:ascii="Arial" w:eastAsia="Times New Roman" w:hAnsi="Arial" w:cs="Arial"/>
          <w:lang w:eastAsia="en-GB"/>
        </w:rPr>
      </w:pPr>
      <w:r w:rsidRPr="005E4F64">
        <w:rPr>
          <w:rFonts w:ascii="Arial" w:eastAsia="Times New Roman" w:hAnsi="Arial" w:cs="Arial"/>
          <w:color w:val="C00000"/>
          <w:lang w:eastAsia="en-GB"/>
        </w:rPr>
        <w:t>Employers should seek their own legal advice where necessary</w:t>
      </w:r>
      <w:r>
        <w:rPr>
          <w:rFonts w:ascii="Arial" w:eastAsia="Times New Roman" w:hAnsi="Arial" w:cs="Arial"/>
          <w:lang w:eastAsia="en-GB"/>
        </w:rPr>
        <w:t>.</w:t>
      </w:r>
    </w:p>
    <w:p w14:paraId="6338C04F" w14:textId="77777777" w:rsidR="00765220" w:rsidRPr="005A229C" w:rsidRDefault="00765220" w:rsidP="005A229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4284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4253"/>
        <w:gridCol w:w="4253"/>
      </w:tblGrid>
      <w:tr w:rsidR="00167FA8" w:rsidRPr="005A229C" w14:paraId="268918CD" w14:textId="32DD479E" w:rsidTr="00167FA8">
        <w:tc>
          <w:tcPr>
            <w:tcW w:w="959" w:type="dxa"/>
            <w:shd w:val="clear" w:color="auto" w:fill="BFBFBF" w:themeFill="background1" w:themeFillShade="BF"/>
          </w:tcPr>
          <w:p w14:paraId="1336952E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>Matter</w:t>
            </w:r>
          </w:p>
          <w:p w14:paraId="3005D091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shd w:val="clear" w:color="auto" w:fill="BFBFBF" w:themeFill="background1" w:themeFillShade="BF"/>
          </w:tcPr>
          <w:p w14:paraId="6A1F0FC2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44AC7173" w14:textId="6EE56D03" w:rsidR="00167FA8" w:rsidRPr="005A229C" w:rsidRDefault="009D0A2E" w:rsidP="00BC75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Fund </w:t>
            </w:r>
            <w:r w:rsidR="00167FA8" w:rsidRPr="005A229C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6E114340" w14:textId="5F4247EF" w:rsidR="00167FA8" w:rsidRPr="005A229C" w:rsidRDefault="0076500F" w:rsidP="00BC75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Ceding </w:t>
            </w:r>
            <w:r w:rsidR="009D0A2E">
              <w:rPr>
                <w:rFonts w:ascii="Arial" w:hAnsi="Arial" w:cs="Arial"/>
                <w:b/>
              </w:rPr>
              <w:t>Employer</w:t>
            </w:r>
            <w:r>
              <w:rPr>
                <w:rFonts w:ascii="Arial" w:hAnsi="Arial" w:cs="Arial"/>
                <w:b/>
              </w:rPr>
              <w:t xml:space="preserve"> and new Employer</w:t>
            </w:r>
            <w:r w:rsidR="009D0A2E">
              <w:rPr>
                <w:rFonts w:ascii="Arial" w:hAnsi="Arial" w:cs="Arial"/>
                <w:b/>
              </w:rPr>
              <w:t xml:space="preserve"> Comment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167FA8" w:rsidRPr="005A229C" w14:paraId="51AEAE18" w14:textId="70A56DC8" w:rsidTr="00167FA8">
        <w:tc>
          <w:tcPr>
            <w:tcW w:w="959" w:type="dxa"/>
            <w:shd w:val="clear" w:color="auto" w:fill="F2F2F2" w:themeFill="background1" w:themeFillShade="F2"/>
          </w:tcPr>
          <w:p w14:paraId="74894A02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735829E" w14:textId="77777777" w:rsidR="00167FA8" w:rsidRPr="005A229C" w:rsidRDefault="00167FA8" w:rsidP="00BC758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5A229C">
              <w:rPr>
                <w:rFonts w:ascii="Arial" w:eastAsia="Times New Roman" w:hAnsi="Arial" w:cs="Arial"/>
                <w:b/>
                <w:lang w:eastAsia="en-GB"/>
              </w:rPr>
              <w:t xml:space="preserve">New </w:t>
            </w: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  <w:r w:rsidRPr="005A229C">
              <w:rPr>
                <w:rFonts w:ascii="Arial" w:eastAsia="Times New Roman" w:hAnsi="Arial" w:cs="Arial"/>
                <w:b/>
                <w:lang w:eastAsia="en-GB"/>
              </w:rPr>
              <w:t>mployer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A134E45" w14:textId="5103BB4E" w:rsidR="00167FA8" w:rsidRPr="005A229C" w:rsidRDefault="00167FA8" w:rsidP="00BC7582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157195FC" w14:textId="77777777" w:rsidR="00167FA8" w:rsidRPr="005A229C" w:rsidRDefault="00167FA8" w:rsidP="00BC7582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67FA8" w:rsidRPr="005A229C" w14:paraId="2A48687F" w14:textId="54F9FE56" w:rsidTr="00167FA8">
        <w:tc>
          <w:tcPr>
            <w:tcW w:w="959" w:type="dxa"/>
          </w:tcPr>
          <w:p w14:paraId="3559A077" w14:textId="7777777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1.1</w:t>
            </w:r>
          </w:p>
        </w:tc>
        <w:tc>
          <w:tcPr>
            <w:tcW w:w="4819" w:type="dxa"/>
          </w:tcPr>
          <w:p w14:paraId="57A53110" w14:textId="5F890199" w:rsidR="00167FA8" w:rsidRPr="005A229C" w:rsidRDefault="00167FA8" w:rsidP="00BC7582">
            <w:pPr>
              <w:rPr>
                <w:rFonts w:ascii="Arial" w:eastAsia="Times New Roman" w:hAnsi="Arial" w:cs="Arial"/>
                <w:lang w:eastAsia="en-GB"/>
              </w:rPr>
            </w:pPr>
            <w:r w:rsidRPr="005A229C">
              <w:rPr>
                <w:rFonts w:ascii="Arial" w:eastAsia="Times New Roman" w:hAnsi="Arial" w:cs="Arial"/>
                <w:lang w:eastAsia="en-GB"/>
              </w:rPr>
              <w:t xml:space="preserve">The new employing organisation </w:t>
            </w:r>
            <w:r w:rsidRPr="005A229C">
              <w:rPr>
                <w:rFonts w:ascii="Arial" w:eastAsia="Times New Roman" w:hAnsi="Arial" w:cs="Arial"/>
                <w:b/>
                <w:lang w:eastAsia="en-GB"/>
              </w:rPr>
              <w:t>must</w:t>
            </w:r>
            <w:r w:rsidRPr="005A229C">
              <w:rPr>
                <w:rFonts w:ascii="Arial" w:eastAsia="Times New Roman" w:hAnsi="Arial" w:cs="Arial"/>
                <w:lang w:eastAsia="en-GB"/>
              </w:rPr>
              <w:t xml:space="preserve"> be</w:t>
            </w:r>
            <w:r w:rsidR="00A90E19">
              <w:rPr>
                <w:rFonts w:ascii="Arial" w:eastAsia="Times New Roman" w:hAnsi="Arial" w:cs="Arial"/>
                <w:lang w:eastAsia="en-GB"/>
              </w:rPr>
              <w:t xml:space="preserve"> legally</w:t>
            </w:r>
            <w:r w:rsidRPr="005A229C">
              <w:rPr>
                <w:rFonts w:ascii="Arial" w:eastAsia="Times New Roman" w:hAnsi="Arial" w:cs="Arial"/>
                <w:lang w:eastAsia="en-GB"/>
              </w:rPr>
              <w:t xml:space="preserve"> established before it can apply to join the </w:t>
            </w:r>
            <w:r w:rsidR="00630CBF">
              <w:rPr>
                <w:rFonts w:ascii="Arial" w:eastAsia="Times New Roman" w:hAnsi="Arial" w:cs="Arial"/>
                <w:lang w:eastAsia="en-GB"/>
              </w:rPr>
              <w:t>Kent Pension Fund</w:t>
            </w:r>
            <w:r w:rsidRPr="005A229C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4253" w:type="dxa"/>
          </w:tcPr>
          <w:p w14:paraId="72A7CBF5" w14:textId="001F9BB5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59F03D5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</w:tr>
      <w:tr w:rsidR="00167FA8" w:rsidRPr="005A229C" w14:paraId="6A266D91" w14:textId="395F9C45" w:rsidTr="00167FA8">
        <w:tc>
          <w:tcPr>
            <w:tcW w:w="959" w:type="dxa"/>
          </w:tcPr>
          <w:p w14:paraId="36DD9898" w14:textId="7777777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1.2</w:t>
            </w:r>
          </w:p>
        </w:tc>
        <w:tc>
          <w:tcPr>
            <w:tcW w:w="4819" w:type="dxa"/>
          </w:tcPr>
          <w:p w14:paraId="6E33CB7E" w14:textId="6F3CB9D3" w:rsidR="00167FA8" w:rsidRPr="00573751" w:rsidRDefault="00167FA8" w:rsidP="00BC758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573751">
              <w:rPr>
                <w:rFonts w:ascii="Arial" w:eastAsia="Times New Roman" w:hAnsi="Arial" w:cs="Arial"/>
                <w:lang w:eastAsia="en-GB"/>
              </w:rPr>
              <w:t>As per the 2013 LGPS regulations</w:t>
            </w:r>
            <w:r>
              <w:rPr>
                <w:rFonts w:ascii="Arial" w:eastAsia="Times New Roman" w:hAnsi="Arial" w:cs="Arial"/>
                <w:lang w:eastAsia="en-GB"/>
              </w:rPr>
              <w:t>,</w:t>
            </w:r>
            <w:r w:rsidRPr="00573751">
              <w:rPr>
                <w:rFonts w:ascii="Arial" w:eastAsia="Times New Roman" w:hAnsi="Arial" w:cs="Arial"/>
                <w:lang w:eastAsia="en-GB"/>
              </w:rPr>
              <w:t xml:space="preserve"> employees of the following employing bodies have access to the </w:t>
            </w:r>
            <w:proofErr w:type="gramStart"/>
            <w:r w:rsidRPr="00573751">
              <w:rPr>
                <w:rFonts w:ascii="Arial" w:eastAsia="Times New Roman" w:hAnsi="Arial" w:cs="Arial"/>
                <w:lang w:eastAsia="en-GB"/>
              </w:rPr>
              <w:t>LGPS :</w:t>
            </w:r>
            <w:proofErr w:type="gramEnd"/>
          </w:p>
          <w:p w14:paraId="54129D87" w14:textId="4CB76344" w:rsidR="00167FA8" w:rsidRPr="00573751" w:rsidRDefault="00167FA8" w:rsidP="00BC7582">
            <w:pPr>
              <w:numPr>
                <w:ilvl w:val="0"/>
                <w:numId w:val="6"/>
              </w:numPr>
              <w:shd w:val="clear" w:color="auto" w:fill="FFFFFF"/>
              <w:ind w:left="374" w:hanging="357"/>
              <w:rPr>
                <w:rFonts w:ascii="Arial" w:eastAsia="Times New Roman" w:hAnsi="Arial" w:cs="Arial"/>
                <w:lang w:eastAsia="en-GB"/>
              </w:rPr>
            </w:pPr>
            <w:r w:rsidRPr="00573751">
              <w:rPr>
                <w:rFonts w:ascii="Arial" w:eastAsia="Times New Roman" w:hAnsi="Arial" w:cs="Arial"/>
                <w:lang w:eastAsia="en-GB"/>
              </w:rPr>
              <w:t xml:space="preserve">Scheduled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b</w:t>
            </w:r>
            <w:r w:rsidRPr="00573751">
              <w:rPr>
                <w:rFonts w:ascii="Arial" w:eastAsia="Times New Roman" w:hAnsi="Arial" w:cs="Arial"/>
                <w:lang w:eastAsia="en-GB"/>
              </w:rPr>
              <w:t>odies;</w:t>
            </w:r>
            <w:proofErr w:type="gramEnd"/>
          </w:p>
          <w:p w14:paraId="69322E84" w14:textId="1195498C" w:rsidR="00167FA8" w:rsidRPr="00573751" w:rsidRDefault="00167FA8" w:rsidP="00BC758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Arial" w:eastAsia="Times New Roman" w:hAnsi="Arial" w:cs="Arial"/>
                <w:lang w:eastAsia="en-GB"/>
              </w:rPr>
            </w:pPr>
            <w:r w:rsidRPr="00573751">
              <w:rPr>
                <w:rFonts w:ascii="Arial" w:eastAsia="Times New Roman" w:hAnsi="Arial" w:cs="Arial"/>
                <w:lang w:eastAsia="en-GB"/>
              </w:rPr>
              <w:t xml:space="preserve">Designation </w:t>
            </w:r>
            <w:r>
              <w:rPr>
                <w:rFonts w:ascii="Arial" w:eastAsia="Times New Roman" w:hAnsi="Arial" w:cs="Arial"/>
                <w:lang w:eastAsia="en-GB"/>
              </w:rPr>
              <w:t>b</w:t>
            </w:r>
            <w:r w:rsidRPr="00573751">
              <w:rPr>
                <w:rFonts w:ascii="Arial" w:eastAsia="Times New Roman" w:hAnsi="Arial" w:cs="Arial"/>
                <w:lang w:eastAsia="en-GB"/>
              </w:rPr>
              <w:t xml:space="preserve">odies where the employer is a Scheduled </w:t>
            </w:r>
            <w:r>
              <w:rPr>
                <w:rFonts w:ascii="Arial" w:eastAsia="Times New Roman" w:hAnsi="Arial" w:cs="Arial"/>
                <w:lang w:eastAsia="en-GB"/>
              </w:rPr>
              <w:t>b</w:t>
            </w:r>
            <w:r w:rsidRPr="00573751">
              <w:rPr>
                <w:rFonts w:ascii="Arial" w:eastAsia="Times New Roman" w:hAnsi="Arial" w:cs="Arial"/>
                <w:lang w:eastAsia="en-GB"/>
              </w:rPr>
              <w:t xml:space="preserve">ody and has designated them, or a class of employees to which they belong, as being eligible for membership of the </w:t>
            </w:r>
            <w:proofErr w:type="gramStart"/>
            <w:r w:rsidRPr="00573751">
              <w:rPr>
                <w:rFonts w:ascii="Arial" w:eastAsia="Times New Roman" w:hAnsi="Arial" w:cs="Arial"/>
                <w:lang w:eastAsia="en-GB"/>
              </w:rPr>
              <w:t>Scheme;</w:t>
            </w:r>
            <w:proofErr w:type="gramEnd"/>
          </w:p>
          <w:p w14:paraId="4DBF193B" w14:textId="77777777" w:rsidR="00626283" w:rsidRDefault="00167FA8" w:rsidP="0062628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Arial" w:eastAsia="Times New Roman" w:hAnsi="Arial" w:cs="Arial"/>
                <w:lang w:eastAsia="en-GB"/>
              </w:rPr>
            </w:pPr>
            <w:r w:rsidRPr="00573751">
              <w:rPr>
                <w:rFonts w:ascii="Arial" w:eastAsia="Times New Roman" w:hAnsi="Arial" w:cs="Arial"/>
                <w:lang w:eastAsia="en-GB"/>
              </w:rPr>
              <w:t xml:space="preserve">Admission </w:t>
            </w:r>
            <w:r>
              <w:rPr>
                <w:rFonts w:ascii="Arial" w:eastAsia="Times New Roman" w:hAnsi="Arial" w:cs="Arial"/>
                <w:lang w:eastAsia="en-GB"/>
              </w:rPr>
              <w:t>b</w:t>
            </w:r>
            <w:r w:rsidRPr="00573751">
              <w:rPr>
                <w:rFonts w:ascii="Arial" w:eastAsia="Times New Roman" w:hAnsi="Arial" w:cs="Arial"/>
                <w:lang w:eastAsia="en-GB"/>
              </w:rPr>
              <w:t xml:space="preserve">odies whose employer has designated them, or a class of employees to which they belong, as being eligible for membership of the Scheme under the terms of the Admission Agreement the employer has with the Pension Fund </w:t>
            </w:r>
            <w:r w:rsidRPr="00BC7582">
              <w:rPr>
                <w:rFonts w:ascii="Arial" w:eastAsia="Times New Roman" w:hAnsi="Arial" w:cs="Arial"/>
                <w:lang w:eastAsia="en-GB"/>
              </w:rPr>
              <w:lastRenderedPageBreak/>
              <w:t>administering authority; and</w:t>
            </w:r>
            <w:r w:rsidR="00626283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4EBB10C" w14:textId="4BA32B40" w:rsidR="00167FA8" w:rsidRPr="00626283" w:rsidRDefault="00167FA8" w:rsidP="0062628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Arial" w:eastAsia="Times New Roman" w:hAnsi="Arial" w:cs="Arial"/>
                <w:lang w:eastAsia="en-GB"/>
              </w:rPr>
            </w:pPr>
            <w:r w:rsidRPr="00626283">
              <w:rPr>
                <w:rFonts w:ascii="Arial" w:eastAsia="Times New Roman" w:hAnsi="Arial" w:cs="Arial"/>
                <w:lang w:eastAsia="en-GB"/>
              </w:rPr>
              <w:t xml:space="preserve">A decision </w:t>
            </w:r>
            <w:proofErr w:type="gramStart"/>
            <w:r w:rsidRPr="00626283">
              <w:rPr>
                <w:rFonts w:ascii="Arial" w:eastAsia="Times New Roman" w:hAnsi="Arial" w:cs="Arial"/>
                <w:lang w:eastAsia="en-GB"/>
              </w:rPr>
              <w:t>has to</w:t>
            </w:r>
            <w:proofErr w:type="gramEnd"/>
            <w:r w:rsidRPr="00626283">
              <w:rPr>
                <w:rFonts w:ascii="Arial" w:eastAsia="Times New Roman" w:hAnsi="Arial" w:cs="Arial"/>
                <w:lang w:eastAsia="en-GB"/>
              </w:rPr>
              <w:t xml:space="preserve"> be made under which sub-paragraph of the Local Government Pension Scheme Regulations 2013 the new employer is planning to join the LGPS.</w:t>
            </w:r>
          </w:p>
          <w:p w14:paraId="20F3EE08" w14:textId="52B85AF7" w:rsidR="00167FA8" w:rsidRPr="00573751" w:rsidRDefault="00167FA8" w:rsidP="00BC75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573751">
              <w:rPr>
                <w:rFonts w:ascii="Arial" w:hAnsi="Arial" w:cs="Arial"/>
                <w:b/>
              </w:rPr>
              <w:t xml:space="preserve">Admission </w:t>
            </w:r>
            <w:r>
              <w:rPr>
                <w:rFonts w:ascii="Arial" w:hAnsi="Arial" w:cs="Arial"/>
                <w:b/>
              </w:rPr>
              <w:t>b</w:t>
            </w:r>
            <w:r w:rsidRPr="00573751">
              <w:rPr>
                <w:rFonts w:ascii="Arial" w:hAnsi="Arial" w:cs="Arial"/>
                <w:b/>
              </w:rPr>
              <w:t xml:space="preserve">ody? Go to section </w:t>
            </w:r>
            <w:proofErr w:type="gramStart"/>
            <w:r w:rsidRPr="00573751">
              <w:rPr>
                <w:rFonts w:ascii="Arial" w:hAnsi="Arial" w:cs="Arial"/>
                <w:b/>
              </w:rPr>
              <w:t>2</w:t>
            </w:r>
            <w:proofErr w:type="gramEnd"/>
          </w:p>
          <w:p w14:paraId="48FF661F" w14:textId="18F9264A" w:rsidR="00167FA8" w:rsidRPr="00573751" w:rsidRDefault="00167FA8" w:rsidP="00BC75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573751">
              <w:rPr>
                <w:rFonts w:ascii="Arial" w:hAnsi="Arial" w:cs="Arial"/>
                <w:b/>
              </w:rPr>
              <w:t xml:space="preserve">Scheduled / Designation </w:t>
            </w:r>
            <w:r>
              <w:rPr>
                <w:rFonts w:ascii="Arial" w:hAnsi="Arial" w:cs="Arial"/>
                <w:b/>
              </w:rPr>
              <w:t>b</w:t>
            </w:r>
            <w:r w:rsidRPr="00573751">
              <w:rPr>
                <w:rFonts w:ascii="Arial" w:hAnsi="Arial" w:cs="Arial"/>
                <w:b/>
              </w:rPr>
              <w:t>ody? Go to section 3</w:t>
            </w:r>
          </w:p>
        </w:tc>
        <w:tc>
          <w:tcPr>
            <w:tcW w:w="4253" w:type="dxa"/>
          </w:tcPr>
          <w:p w14:paraId="08FD9C77" w14:textId="77777777" w:rsidR="00167FA8" w:rsidRPr="005A229C" w:rsidRDefault="00167FA8" w:rsidP="00BC758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5A229C">
              <w:rPr>
                <w:rFonts w:ascii="Arial" w:eastAsia="Times New Roman" w:hAnsi="Arial" w:cs="Arial"/>
                <w:lang w:eastAsia="en-GB"/>
              </w:rPr>
              <w:lastRenderedPageBreak/>
              <w:t>Refer to regulation 3 of the regulations at:</w:t>
            </w:r>
          </w:p>
          <w:p w14:paraId="0468359C" w14:textId="06367449" w:rsidR="00167FA8" w:rsidRPr="005A229C" w:rsidRDefault="005E4F64" w:rsidP="00BC758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hyperlink r:id="rId12" w:history="1">
              <w:r w:rsidR="00167FA8" w:rsidRPr="00F43E5A">
                <w:rPr>
                  <w:rStyle w:val="Hyperlink"/>
                  <w:rFonts w:ascii="Arial" w:eastAsia="Times New Roman" w:hAnsi="Arial" w:cs="Arial"/>
                  <w:lang w:eastAsia="en-GB"/>
                </w:rPr>
                <w:t>http://www.lgpsregs.org/index.php/regs-legislation/timeline-regulations-2014</w:t>
              </w:r>
            </w:hyperlink>
            <w:r w:rsidR="00167FA8" w:rsidRPr="005A229C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CDD53E0" w14:textId="77777777" w:rsidR="00167FA8" w:rsidRPr="005A229C" w:rsidRDefault="00167FA8" w:rsidP="00BC758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  <w:p w14:paraId="41E786AD" w14:textId="77777777" w:rsidR="00167FA8" w:rsidRPr="005A229C" w:rsidRDefault="00167FA8" w:rsidP="00BC758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53" w:type="dxa"/>
          </w:tcPr>
          <w:p w14:paraId="23FAD50A" w14:textId="77777777" w:rsidR="00167FA8" w:rsidRPr="005A229C" w:rsidRDefault="00167FA8" w:rsidP="00BC758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67FA8" w:rsidRPr="005A229C" w14:paraId="1A48E427" w14:textId="6919D882" w:rsidTr="00167FA8">
        <w:tc>
          <w:tcPr>
            <w:tcW w:w="959" w:type="dxa"/>
          </w:tcPr>
          <w:p w14:paraId="5F4641E5" w14:textId="6E062DF4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1.3</w:t>
            </w:r>
          </w:p>
        </w:tc>
        <w:tc>
          <w:tcPr>
            <w:tcW w:w="4819" w:type="dxa"/>
          </w:tcPr>
          <w:p w14:paraId="255ACF73" w14:textId="77A966E9" w:rsidR="00167FA8" w:rsidRPr="00626283" w:rsidRDefault="00167FA8" w:rsidP="00BC7582">
            <w:pPr>
              <w:rPr>
                <w:rFonts w:ascii="Arial" w:hAnsi="Arial" w:cs="Arial"/>
              </w:rPr>
            </w:pPr>
            <w:r w:rsidRPr="00626283">
              <w:rPr>
                <w:rFonts w:ascii="Arial" w:hAnsi="Arial" w:cs="Arial"/>
              </w:rPr>
              <w:t xml:space="preserve">All new employers will join the Scheme fully funded on an ongoing basis </w:t>
            </w:r>
            <w:r w:rsidRPr="00626283">
              <w:rPr>
                <w:rFonts w:ascii="Arial" w:hAnsi="Arial" w:cs="Arial"/>
                <w:color w:val="000000" w:themeColor="text1"/>
              </w:rPr>
              <w:t xml:space="preserve">with </w:t>
            </w:r>
            <w:r w:rsidR="0053570A" w:rsidRPr="00626283">
              <w:rPr>
                <w:rFonts w:ascii="Arial" w:hAnsi="Arial" w:cs="Arial"/>
              </w:rPr>
              <w:t>the ceding employer</w:t>
            </w:r>
            <w:r w:rsidR="0053570A" w:rsidRPr="0062628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6283">
              <w:rPr>
                <w:rFonts w:ascii="Arial" w:hAnsi="Arial" w:cs="Arial"/>
                <w:color w:val="000000" w:themeColor="text1"/>
              </w:rPr>
              <w:t xml:space="preserve">retaining any historical </w:t>
            </w:r>
            <w:r w:rsidRPr="00626283">
              <w:rPr>
                <w:rFonts w:ascii="Arial" w:hAnsi="Arial" w:cs="Arial"/>
              </w:rPr>
              <w:t>deficit.</w:t>
            </w:r>
          </w:p>
          <w:p w14:paraId="27D53FC7" w14:textId="77777777" w:rsidR="00167FA8" w:rsidRPr="00626283" w:rsidRDefault="00167FA8" w:rsidP="00BC7582">
            <w:pPr>
              <w:rPr>
                <w:rFonts w:ascii="Arial" w:hAnsi="Arial" w:cs="Arial"/>
              </w:rPr>
            </w:pPr>
          </w:p>
          <w:p w14:paraId="3AFC7655" w14:textId="6F98994C" w:rsidR="00167FA8" w:rsidRPr="00626283" w:rsidRDefault="00167FA8" w:rsidP="00BC7582">
            <w:pPr>
              <w:rPr>
                <w:rFonts w:ascii="Arial" w:hAnsi="Arial" w:cs="Arial"/>
              </w:rPr>
            </w:pPr>
            <w:r w:rsidRPr="00626283">
              <w:rPr>
                <w:rFonts w:ascii="Arial" w:hAnsi="Arial" w:cs="Arial"/>
              </w:rPr>
              <w:t>The new employer will not be fully funded at day 1 on a</w:t>
            </w:r>
            <w:r w:rsidR="005F5D5F" w:rsidRPr="00626283">
              <w:rPr>
                <w:rFonts w:ascii="Arial" w:hAnsi="Arial" w:cs="Arial"/>
              </w:rPr>
              <w:t xml:space="preserve"> </w:t>
            </w:r>
            <w:r w:rsidR="009A6E48" w:rsidRPr="00626283">
              <w:rPr>
                <w:rFonts w:ascii="Arial" w:hAnsi="Arial" w:cs="Arial"/>
              </w:rPr>
              <w:t>FRS102/</w:t>
            </w:r>
            <w:r w:rsidRPr="00626283">
              <w:rPr>
                <w:rFonts w:ascii="Arial" w:hAnsi="Arial" w:cs="Arial"/>
              </w:rPr>
              <w:t>IAS19</w:t>
            </w:r>
            <w:r w:rsidR="00392581" w:rsidRPr="00626283">
              <w:rPr>
                <w:rFonts w:ascii="Arial" w:hAnsi="Arial" w:cs="Arial"/>
              </w:rPr>
              <w:t xml:space="preserve"> accounting</w:t>
            </w:r>
            <w:r w:rsidRPr="00626283">
              <w:rPr>
                <w:rFonts w:ascii="Arial" w:hAnsi="Arial" w:cs="Arial"/>
              </w:rPr>
              <w:t xml:space="preserve"> basis.</w:t>
            </w:r>
          </w:p>
          <w:p w14:paraId="025467D6" w14:textId="77777777" w:rsidR="00167FA8" w:rsidRPr="00626283" w:rsidRDefault="00167FA8" w:rsidP="00BC7582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53" w:type="dxa"/>
          </w:tcPr>
          <w:p w14:paraId="7B201EC2" w14:textId="163C6ABE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See 4.1 below.</w:t>
            </w:r>
          </w:p>
        </w:tc>
        <w:tc>
          <w:tcPr>
            <w:tcW w:w="4253" w:type="dxa"/>
          </w:tcPr>
          <w:p w14:paraId="1F93E6D8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</w:tr>
      <w:tr w:rsidR="00167FA8" w:rsidRPr="005A229C" w14:paraId="4FC973CA" w14:textId="4293669C" w:rsidTr="00167FA8">
        <w:tc>
          <w:tcPr>
            <w:tcW w:w="959" w:type="dxa"/>
            <w:shd w:val="clear" w:color="auto" w:fill="F2F2F2" w:themeFill="background1" w:themeFillShade="F2"/>
          </w:tcPr>
          <w:p w14:paraId="79657751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>2.</w:t>
            </w:r>
          </w:p>
          <w:p w14:paraId="449F65BF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320F2C06" w14:textId="3B9BD2AE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 xml:space="preserve">Admission </w:t>
            </w:r>
            <w:r>
              <w:rPr>
                <w:rFonts w:ascii="Arial" w:hAnsi="Arial" w:cs="Arial"/>
                <w:b/>
              </w:rPr>
              <w:t>b</w:t>
            </w:r>
            <w:r w:rsidRPr="005A229C">
              <w:rPr>
                <w:rFonts w:ascii="Arial" w:hAnsi="Arial" w:cs="Arial"/>
                <w:b/>
              </w:rPr>
              <w:t>ody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B18C1A4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2BD44AAF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</w:p>
        </w:tc>
      </w:tr>
      <w:tr w:rsidR="00167FA8" w:rsidRPr="005A229C" w14:paraId="14CB73CD" w14:textId="1FC13190" w:rsidTr="00167FA8">
        <w:tc>
          <w:tcPr>
            <w:tcW w:w="959" w:type="dxa"/>
          </w:tcPr>
          <w:p w14:paraId="7E6BE399" w14:textId="7777777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2.1</w:t>
            </w:r>
          </w:p>
        </w:tc>
        <w:tc>
          <w:tcPr>
            <w:tcW w:w="4819" w:type="dxa"/>
          </w:tcPr>
          <w:p w14:paraId="0C074EE9" w14:textId="42A5124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Is the new employer planning to join the </w:t>
            </w:r>
            <w:r>
              <w:rPr>
                <w:rFonts w:ascii="Arial" w:hAnsi="Arial" w:cs="Arial"/>
              </w:rPr>
              <w:t>S</w:t>
            </w:r>
            <w:r w:rsidRPr="005A229C">
              <w:rPr>
                <w:rFonts w:ascii="Arial" w:hAnsi="Arial" w:cs="Arial"/>
              </w:rPr>
              <w:t xml:space="preserve">cheme as an </w:t>
            </w:r>
            <w:r w:rsidR="0046170E">
              <w:rPr>
                <w:rFonts w:ascii="Arial" w:hAnsi="Arial" w:cs="Arial"/>
              </w:rPr>
              <w:t>a</w:t>
            </w:r>
            <w:r w:rsidRPr="005A229C">
              <w:rPr>
                <w:rFonts w:ascii="Arial" w:hAnsi="Arial" w:cs="Arial"/>
              </w:rPr>
              <w:t xml:space="preserve">dmission </w:t>
            </w:r>
            <w:r>
              <w:rPr>
                <w:rFonts w:ascii="Arial" w:hAnsi="Arial" w:cs="Arial"/>
              </w:rPr>
              <w:t>b</w:t>
            </w:r>
            <w:r w:rsidRPr="005A229C">
              <w:rPr>
                <w:rFonts w:ascii="Arial" w:hAnsi="Arial" w:cs="Arial"/>
              </w:rPr>
              <w:t>ody under Schedule 2 Part 3 paragraph 1 (d) (i), (ii) or (iii) of the 2013 LGPS regs?</w:t>
            </w:r>
          </w:p>
        </w:tc>
        <w:tc>
          <w:tcPr>
            <w:tcW w:w="4253" w:type="dxa"/>
          </w:tcPr>
          <w:p w14:paraId="0F6AEA88" w14:textId="06F5097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An applicant </w:t>
            </w:r>
            <w:r w:rsidR="00CE218B">
              <w:rPr>
                <w:rFonts w:ascii="Arial" w:hAnsi="Arial" w:cs="Arial"/>
              </w:rPr>
              <w:t>a</w:t>
            </w:r>
            <w:r w:rsidRPr="005A229C">
              <w:rPr>
                <w:rFonts w:ascii="Arial" w:hAnsi="Arial" w:cs="Arial"/>
              </w:rPr>
              <w:t>dmission body will be required to complete</w:t>
            </w:r>
            <w:r w:rsidR="00C42156">
              <w:rPr>
                <w:rFonts w:ascii="Arial" w:hAnsi="Arial" w:cs="Arial"/>
              </w:rPr>
              <w:t xml:space="preserve"> and upload</w:t>
            </w:r>
            <w:r w:rsidR="00C6054D">
              <w:rPr>
                <w:rFonts w:ascii="Arial" w:hAnsi="Arial" w:cs="Arial"/>
              </w:rPr>
              <w:t xml:space="preserve"> a dat</w:t>
            </w:r>
            <w:r w:rsidR="00692B30">
              <w:rPr>
                <w:rFonts w:ascii="Arial" w:hAnsi="Arial" w:cs="Arial"/>
              </w:rPr>
              <w:t>a</w:t>
            </w:r>
            <w:r w:rsidR="00C6054D">
              <w:rPr>
                <w:rFonts w:ascii="Arial" w:hAnsi="Arial" w:cs="Arial"/>
              </w:rPr>
              <w:t xml:space="preserve"> capture</w:t>
            </w:r>
            <w:r w:rsidR="00692B30">
              <w:rPr>
                <w:rFonts w:ascii="Arial" w:hAnsi="Arial" w:cs="Arial"/>
              </w:rPr>
              <w:t xml:space="preserve"> and on receipt of the actuary report then</w:t>
            </w:r>
            <w:r w:rsidR="00E113BF">
              <w:rPr>
                <w:rFonts w:ascii="Arial" w:hAnsi="Arial" w:cs="Arial"/>
              </w:rPr>
              <w:t xml:space="preserve"> complete and upload </w:t>
            </w:r>
            <w:r w:rsidRPr="005A229C">
              <w:rPr>
                <w:rFonts w:ascii="Arial" w:hAnsi="Arial" w:cs="Arial"/>
              </w:rPr>
              <w:t>an admission questionnaire</w:t>
            </w:r>
            <w:r w:rsidR="009D171B">
              <w:rPr>
                <w:rFonts w:ascii="Arial" w:hAnsi="Arial" w:cs="Arial"/>
              </w:rPr>
              <w:t xml:space="preserve">. </w:t>
            </w:r>
            <w:r w:rsidR="0048094E">
              <w:rPr>
                <w:rFonts w:ascii="Arial" w:hAnsi="Arial" w:cs="Arial"/>
              </w:rPr>
              <w:t xml:space="preserve"> Further to the agreement of our Pension Fund Committee, t</w:t>
            </w:r>
            <w:r w:rsidR="009D171B">
              <w:rPr>
                <w:rFonts w:ascii="Arial" w:hAnsi="Arial" w:cs="Arial"/>
              </w:rPr>
              <w:t>he applicant admission body will</w:t>
            </w:r>
            <w:r w:rsidR="0048094E">
              <w:rPr>
                <w:rFonts w:ascii="Arial" w:hAnsi="Arial" w:cs="Arial"/>
              </w:rPr>
              <w:t xml:space="preserve"> be required to execute an</w:t>
            </w:r>
            <w:r w:rsidRPr="005A229C">
              <w:rPr>
                <w:rFonts w:ascii="Arial" w:hAnsi="Arial" w:cs="Arial"/>
              </w:rPr>
              <w:t xml:space="preserve"> admission agreement.</w:t>
            </w:r>
          </w:p>
          <w:p w14:paraId="13B42B7E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  <w:p w14:paraId="76EBBD8F" w14:textId="0FEBE7C9" w:rsidR="00C20365" w:rsidRDefault="00495828" w:rsidP="00BC7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The applicant admission body</w:t>
            </w:r>
            <w:r w:rsidR="00167FA8" w:rsidRPr="005A229C">
              <w:rPr>
                <w:rFonts w:ascii="Arial" w:hAnsi="Arial" w:cs="Arial"/>
              </w:rPr>
              <w:t xml:space="preserve"> will also be required to provide either a </w:t>
            </w:r>
            <w:r w:rsidR="0046170E">
              <w:rPr>
                <w:rFonts w:ascii="Arial" w:hAnsi="Arial" w:cs="Arial"/>
              </w:rPr>
              <w:t>b</w:t>
            </w:r>
            <w:r w:rsidR="00167FA8" w:rsidRPr="005A229C">
              <w:rPr>
                <w:rFonts w:ascii="Arial" w:hAnsi="Arial" w:cs="Arial"/>
              </w:rPr>
              <w:t>ond</w:t>
            </w:r>
            <w:r w:rsidR="00875996">
              <w:rPr>
                <w:rFonts w:ascii="Arial" w:hAnsi="Arial" w:cs="Arial"/>
              </w:rPr>
              <w:t xml:space="preserve"> </w:t>
            </w:r>
            <w:r w:rsidR="00467B2A">
              <w:rPr>
                <w:rFonts w:ascii="Arial" w:hAnsi="Arial" w:cs="Arial"/>
              </w:rPr>
              <w:t>v</w:t>
            </w:r>
            <w:r w:rsidR="00875996">
              <w:rPr>
                <w:rFonts w:ascii="Arial" w:hAnsi="Arial" w:cs="Arial"/>
              </w:rPr>
              <w:t>ia a</w:t>
            </w:r>
            <w:r w:rsidR="00467B2A">
              <w:rPr>
                <w:rFonts w:ascii="Arial" w:hAnsi="Arial" w:cs="Arial"/>
              </w:rPr>
              <w:t>n authorised</w:t>
            </w:r>
            <w:r w:rsidR="00875996">
              <w:rPr>
                <w:rFonts w:ascii="Arial" w:hAnsi="Arial" w:cs="Arial"/>
              </w:rPr>
              <w:t xml:space="preserve"> bond provider</w:t>
            </w:r>
            <w:r w:rsidR="00167FA8" w:rsidRPr="005A229C">
              <w:rPr>
                <w:rFonts w:ascii="Arial" w:hAnsi="Arial" w:cs="Arial"/>
              </w:rPr>
              <w:t xml:space="preserve"> or </w:t>
            </w:r>
            <w:r w:rsidR="00467B2A">
              <w:rPr>
                <w:rFonts w:ascii="Arial" w:hAnsi="Arial" w:cs="Arial"/>
              </w:rPr>
              <w:t xml:space="preserve">a </w:t>
            </w:r>
            <w:r w:rsidR="00167FA8" w:rsidRPr="005A229C">
              <w:rPr>
                <w:rFonts w:ascii="Arial" w:hAnsi="Arial" w:cs="Arial"/>
              </w:rPr>
              <w:t>guarantee</w:t>
            </w:r>
            <w:r w:rsidR="00875996">
              <w:rPr>
                <w:rFonts w:ascii="Arial" w:hAnsi="Arial" w:cs="Arial"/>
              </w:rPr>
              <w:t xml:space="preserve"> will be required</w:t>
            </w:r>
            <w:r w:rsidR="00167FA8" w:rsidRPr="005A229C">
              <w:rPr>
                <w:rFonts w:ascii="Arial" w:hAnsi="Arial" w:cs="Arial"/>
              </w:rPr>
              <w:t xml:space="preserve"> as per the 2013 LGPS regs Schedule 2 Part 3</w:t>
            </w:r>
            <w:r w:rsidR="00875996">
              <w:rPr>
                <w:rFonts w:ascii="Arial" w:hAnsi="Arial" w:cs="Arial"/>
              </w:rPr>
              <w:t xml:space="preserve"> </w:t>
            </w:r>
            <w:r w:rsidR="00467B2A">
              <w:rPr>
                <w:rFonts w:ascii="Arial" w:hAnsi="Arial" w:cs="Arial"/>
              </w:rPr>
              <w:t>a</w:t>
            </w:r>
            <w:r w:rsidR="00875996">
              <w:rPr>
                <w:rFonts w:ascii="Arial" w:hAnsi="Arial" w:cs="Arial"/>
              </w:rPr>
              <w:t>nd</w:t>
            </w:r>
            <w:r w:rsidR="00467B2A">
              <w:rPr>
                <w:rFonts w:ascii="Arial" w:hAnsi="Arial" w:cs="Arial"/>
              </w:rPr>
              <w:t xml:space="preserve"> the Fund’s </w:t>
            </w:r>
            <w:r w:rsidR="00875996">
              <w:rPr>
                <w:rFonts w:ascii="Arial" w:hAnsi="Arial" w:cs="Arial"/>
              </w:rPr>
              <w:t xml:space="preserve"> </w:t>
            </w:r>
            <w:hyperlink r:id="rId13" w:history="1">
              <w:r w:rsidR="00C20365">
                <w:rPr>
                  <w:rStyle w:val="Hyperlink"/>
                  <w:rFonts w:ascii="Arial" w:hAnsi="Arial" w:cs="Arial"/>
                </w:rPr>
                <w:t>Funding Strategy Statement</w:t>
              </w:r>
            </w:hyperlink>
          </w:p>
          <w:p w14:paraId="01F52A37" w14:textId="3427D38E" w:rsidR="00167FA8" w:rsidRPr="005A229C" w:rsidRDefault="00875996" w:rsidP="00BC7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5611E41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  <w:p w14:paraId="47975CAF" w14:textId="1CF5D180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</w:t>
            </w:r>
            <w:r w:rsidR="004D3A10">
              <w:rPr>
                <w:rFonts w:ascii="Arial" w:hAnsi="Arial" w:cs="Arial"/>
              </w:rPr>
              <w:t>a</w:t>
            </w:r>
            <w:r w:rsidRPr="005A229C">
              <w:rPr>
                <w:rFonts w:ascii="Arial" w:hAnsi="Arial" w:cs="Arial"/>
              </w:rPr>
              <w:t xml:space="preserve">dmission application will be reviewed by the </w:t>
            </w:r>
            <w:r w:rsidR="006E6A78">
              <w:rPr>
                <w:rFonts w:ascii="Arial" w:hAnsi="Arial" w:cs="Arial"/>
              </w:rPr>
              <w:t xml:space="preserve">Pension </w:t>
            </w:r>
            <w:r w:rsidRPr="005A229C">
              <w:rPr>
                <w:rFonts w:ascii="Arial" w:hAnsi="Arial" w:cs="Arial"/>
              </w:rPr>
              <w:t xml:space="preserve">Fund Committee at one of its meetings. Please refer to the </w:t>
            </w:r>
            <w:hyperlink r:id="rId14" w:history="1">
              <w:r w:rsidRPr="00BC7582">
                <w:rPr>
                  <w:rStyle w:val="Hyperlink"/>
                  <w:rFonts w:ascii="Arial" w:hAnsi="Arial" w:cs="Arial"/>
                  <w:b/>
                </w:rPr>
                <w:t>Admission timetable</w:t>
              </w:r>
            </w:hyperlink>
            <w:r w:rsidRPr="005A229C">
              <w:rPr>
                <w:rFonts w:ascii="Arial" w:hAnsi="Arial" w:cs="Arial"/>
              </w:rPr>
              <w:t xml:space="preserve"> for more details.</w:t>
            </w:r>
          </w:p>
        </w:tc>
        <w:tc>
          <w:tcPr>
            <w:tcW w:w="4253" w:type="dxa"/>
          </w:tcPr>
          <w:p w14:paraId="5197140A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</w:tr>
      <w:tr w:rsidR="00167FA8" w:rsidRPr="005A229C" w14:paraId="3D743FA4" w14:textId="15C2DE92" w:rsidTr="00167FA8">
        <w:tc>
          <w:tcPr>
            <w:tcW w:w="959" w:type="dxa"/>
          </w:tcPr>
          <w:p w14:paraId="5C264B39" w14:textId="7777777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2.2</w:t>
            </w:r>
          </w:p>
        </w:tc>
        <w:tc>
          <w:tcPr>
            <w:tcW w:w="4819" w:type="dxa"/>
          </w:tcPr>
          <w:p w14:paraId="4420BC0C" w14:textId="4B111731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Has a decision been made as to which members are transferring to the new </w:t>
            </w:r>
            <w:r>
              <w:rPr>
                <w:rFonts w:ascii="Arial" w:hAnsi="Arial" w:cs="Arial"/>
              </w:rPr>
              <w:t>body</w:t>
            </w:r>
            <w:r w:rsidRPr="005A229C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are </w:t>
            </w:r>
            <w:r w:rsidRPr="005A229C">
              <w:rPr>
                <w:rFonts w:ascii="Arial" w:hAnsi="Arial" w:cs="Arial"/>
              </w:rPr>
              <w:t>eligible to join the LGPS?</w:t>
            </w:r>
          </w:p>
          <w:p w14:paraId="36DAF93E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0998940C" w14:textId="7777777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See 4.2 below</w:t>
            </w:r>
          </w:p>
        </w:tc>
        <w:tc>
          <w:tcPr>
            <w:tcW w:w="4253" w:type="dxa"/>
          </w:tcPr>
          <w:p w14:paraId="6FE15184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</w:tr>
      <w:tr w:rsidR="00167FA8" w:rsidRPr="005A229C" w14:paraId="3EE5475D" w14:textId="70CBEF05" w:rsidTr="00167FA8">
        <w:tc>
          <w:tcPr>
            <w:tcW w:w="959" w:type="dxa"/>
          </w:tcPr>
          <w:p w14:paraId="2FBA41A8" w14:textId="7777777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2.3</w:t>
            </w:r>
          </w:p>
        </w:tc>
        <w:tc>
          <w:tcPr>
            <w:tcW w:w="4819" w:type="dxa"/>
          </w:tcPr>
          <w:p w14:paraId="1775A406" w14:textId="7777777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Are members transferring to the new employer from another Scheme employer?</w:t>
            </w:r>
          </w:p>
          <w:p w14:paraId="1722336D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161BADBF" w14:textId="7777777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See 4.2 and 4.3 below</w:t>
            </w:r>
          </w:p>
        </w:tc>
        <w:tc>
          <w:tcPr>
            <w:tcW w:w="4253" w:type="dxa"/>
          </w:tcPr>
          <w:p w14:paraId="5A9D8E4C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</w:tr>
      <w:tr w:rsidR="00167FA8" w:rsidRPr="005A229C" w14:paraId="1B8BC745" w14:textId="777E9DAF" w:rsidTr="00167FA8">
        <w:tc>
          <w:tcPr>
            <w:tcW w:w="959" w:type="dxa"/>
            <w:shd w:val="clear" w:color="auto" w:fill="F2F2F2" w:themeFill="background1" w:themeFillShade="F2"/>
          </w:tcPr>
          <w:p w14:paraId="7CEF7F7E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>3.</w:t>
            </w:r>
          </w:p>
          <w:p w14:paraId="0AFAF445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5879B955" w14:textId="27106DCC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 xml:space="preserve">Scheduled / Designation </w:t>
            </w:r>
            <w:r>
              <w:rPr>
                <w:rFonts w:ascii="Arial" w:hAnsi="Arial" w:cs="Arial"/>
                <w:b/>
              </w:rPr>
              <w:t>b</w:t>
            </w:r>
            <w:r w:rsidRPr="005A229C">
              <w:rPr>
                <w:rFonts w:ascii="Arial" w:hAnsi="Arial" w:cs="Arial"/>
                <w:b/>
              </w:rPr>
              <w:t>ody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0C7C98B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4F7445EC" w14:textId="77777777" w:rsidR="00167FA8" w:rsidRPr="005A229C" w:rsidRDefault="00167FA8" w:rsidP="00BC7582">
            <w:pPr>
              <w:rPr>
                <w:rFonts w:ascii="Arial" w:hAnsi="Arial" w:cs="Arial"/>
                <w:b/>
              </w:rPr>
            </w:pPr>
          </w:p>
        </w:tc>
      </w:tr>
      <w:tr w:rsidR="00167FA8" w:rsidRPr="005A229C" w14:paraId="375695FF" w14:textId="5A732566" w:rsidTr="00167FA8">
        <w:tc>
          <w:tcPr>
            <w:tcW w:w="959" w:type="dxa"/>
          </w:tcPr>
          <w:p w14:paraId="5C685983" w14:textId="7777777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3.1</w:t>
            </w:r>
          </w:p>
        </w:tc>
        <w:tc>
          <w:tcPr>
            <w:tcW w:w="4819" w:type="dxa"/>
          </w:tcPr>
          <w:p w14:paraId="2A3EE051" w14:textId="6D0E81CB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Is the new employer planning to join the LGPS as a Scheduled / Designation </w:t>
            </w:r>
            <w:r>
              <w:rPr>
                <w:rFonts w:ascii="Arial" w:hAnsi="Arial" w:cs="Arial"/>
              </w:rPr>
              <w:t>b</w:t>
            </w:r>
            <w:r w:rsidRPr="005A229C">
              <w:rPr>
                <w:rFonts w:ascii="Arial" w:hAnsi="Arial" w:cs="Arial"/>
              </w:rPr>
              <w:t>ody under Schedule 2 Part 2 paragraph 5 of the 2013 LGPS regs?</w:t>
            </w:r>
          </w:p>
          <w:p w14:paraId="49304237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  <w:p w14:paraId="5B691A0F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  <w:p w14:paraId="6A19A8BC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  <w:p w14:paraId="756B14BA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  <w:p w14:paraId="28071B02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3A3E3E2" w14:textId="59C2959C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new </w:t>
            </w:r>
            <w:r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>mployer must</w:t>
            </w:r>
            <w:r w:rsidR="00895096">
              <w:rPr>
                <w:rFonts w:ascii="Arial" w:hAnsi="Arial" w:cs="Arial"/>
              </w:rPr>
              <w:t xml:space="preserve"> complete</w:t>
            </w:r>
            <w:r w:rsidR="00AE55E0">
              <w:rPr>
                <w:rFonts w:ascii="Arial" w:hAnsi="Arial" w:cs="Arial"/>
              </w:rPr>
              <w:t xml:space="preserve"> </w:t>
            </w:r>
            <w:proofErr w:type="gramStart"/>
            <w:r w:rsidR="00AE55E0">
              <w:rPr>
                <w:rFonts w:ascii="Arial" w:hAnsi="Arial" w:cs="Arial"/>
              </w:rPr>
              <w:t xml:space="preserve">and </w:t>
            </w:r>
            <w:r w:rsidR="00AF4EA9">
              <w:rPr>
                <w:rFonts w:ascii="Arial" w:hAnsi="Arial" w:cs="Arial"/>
              </w:rPr>
              <w:t xml:space="preserve"> upload</w:t>
            </w:r>
            <w:proofErr w:type="gramEnd"/>
            <w:r w:rsidR="00895096">
              <w:rPr>
                <w:rFonts w:ascii="Arial" w:hAnsi="Arial" w:cs="Arial"/>
              </w:rPr>
              <w:t xml:space="preserve"> a date capture</w:t>
            </w:r>
            <w:r w:rsidR="003D1B4A">
              <w:rPr>
                <w:rFonts w:ascii="Arial" w:hAnsi="Arial" w:cs="Arial"/>
              </w:rPr>
              <w:t xml:space="preserve"> and</w:t>
            </w:r>
            <w:r w:rsidRPr="005A229C">
              <w:rPr>
                <w:rFonts w:ascii="Arial" w:hAnsi="Arial" w:cs="Arial"/>
              </w:rPr>
              <w:t xml:space="preserve"> make a resolution, duly authorised by whoever or whatever committee has the power under their Scheme of Delegation to do so, to designate those to whom the Scheme will apply.</w:t>
            </w:r>
          </w:p>
          <w:p w14:paraId="316A2BDF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  <w:p w14:paraId="5121CA86" w14:textId="5AB7EF11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>mployer can designate which employees or class of employees are eligible for membership of the LGPS.</w:t>
            </w:r>
          </w:p>
          <w:p w14:paraId="18635F95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E6E93E6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</w:tr>
      <w:tr w:rsidR="00167FA8" w:rsidRPr="005A229C" w14:paraId="2FC27974" w14:textId="1EB1BCAD" w:rsidTr="00167FA8">
        <w:tc>
          <w:tcPr>
            <w:tcW w:w="959" w:type="dxa"/>
          </w:tcPr>
          <w:p w14:paraId="437A1F6E" w14:textId="77777777" w:rsidR="00167FA8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3.2</w:t>
            </w:r>
          </w:p>
          <w:p w14:paraId="0FC51A53" w14:textId="77777777" w:rsidR="00626283" w:rsidRPr="005A229C" w:rsidRDefault="00626283" w:rsidP="00BC758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78FAEF5" w14:textId="77C961D7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Has a decision been made as to which members are transferring to the new </w:t>
            </w:r>
            <w:r>
              <w:rPr>
                <w:rFonts w:ascii="Arial" w:hAnsi="Arial" w:cs="Arial"/>
              </w:rPr>
              <w:t>body</w:t>
            </w:r>
            <w:r w:rsidRPr="005A229C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are </w:t>
            </w:r>
            <w:r w:rsidRPr="005A229C">
              <w:rPr>
                <w:rFonts w:ascii="Arial" w:hAnsi="Arial" w:cs="Arial"/>
              </w:rPr>
              <w:t>eligible to join the LGPS?</w:t>
            </w:r>
          </w:p>
          <w:p w14:paraId="7E37A772" w14:textId="77777777" w:rsidR="00167FA8" w:rsidRPr="005A229C" w:rsidRDefault="00167FA8" w:rsidP="00BC7582">
            <w:pPr>
              <w:pStyle w:val="ListParagraph"/>
              <w:ind w:left="405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81FB454" w14:textId="14151F41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</w:t>
            </w:r>
            <w:r w:rsidRPr="005A229C">
              <w:rPr>
                <w:rFonts w:ascii="Arial" w:hAnsi="Arial" w:cs="Arial"/>
              </w:rPr>
              <w:t xml:space="preserve">cheduled </w:t>
            </w:r>
            <w:r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 xml:space="preserve">mployer may make several resolutions </w:t>
            </w:r>
            <w:proofErr w:type="gramStart"/>
            <w:r w:rsidRPr="005A229C">
              <w:rPr>
                <w:rFonts w:ascii="Arial" w:hAnsi="Arial" w:cs="Arial"/>
              </w:rPr>
              <w:t>in order to</w:t>
            </w:r>
            <w:proofErr w:type="gramEnd"/>
            <w:r w:rsidRPr="005A229C">
              <w:rPr>
                <w:rFonts w:ascii="Arial" w:hAnsi="Arial" w:cs="Arial"/>
              </w:rPr>
              <w:t xml:space="preserve"> cover all members transferring from existing </w:t>
            </w:r>
            <w:r>
              <w:rPr>
                <w:rFonts w:ascii="Arial" w:hAnsi="Arial" w:cs="Arial"/>
              </w:rPr>
              <w:t>s</w:t>
            </w:r>
            <w:r w:rsidRPr="005A229C">
              <w:rPr>
                <w:rFonts w:ascii="Arial" w:hAnsi="Arial" w:cs="Arial"/>
              </w:rPr>
              <w:t>cheduled employers, as per the 2013 LGPS reg 3 (1) (b).</w:t>
            </w:r>
          </w:p>
          <w:p w14:paraId="3355D45B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  <w:p w14:paraId="7EC078BA" w14:textId="095CB3CB" w:rsidR="00167FA8" w:rsidRPr="005A229C" w:rsidRDefault="00167FA8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Also see 4.2 below</w:t>
            </w:r>
            <w:r>
              <w:rPr>
                <w:rFonts w:ascii="Arial" w:hAnsi="Arial" w:cs="Arial"/>
              </w:rPr>
              <w:t>.</w:t>
            </w:r>
          </w:p>
          <w:p w14:paraId="38E47753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3A00713" w14:textId="77777777" w:rsidR="00167FA8" w:rsidRPr="005A229C" w:rsidRDefault="00167FA8" w:rsidP="00BC7582">
            <w:pPr>
              <w:rPr>
                <w:rFonts w:ascii="Arial" w:hAnsi="Arial" w:cs="Arial"/>
              </w:rPr>
            </w:pPr>
          </w:p>
        </w:tc>
      </w:tr>
    </w:tbl>
    <w:p w14:paraId="0CD6D7B4" w14:textId="3F041307" w:rsidR="00CE25F8" w:rsidRDefault="00CE25F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245"/>
        <w:gridCol w:w="3827"/>
      </w:tblGrid>
      <w:tr w:rsidR="00BC7582" w:rsidRPr="005A229C" w14:paraId="6E027B4C" w14:textId="0FC322CE" w:rsidTr="00626283">
        <w:tc>
          <w:tcPr>
            <w:tcW w:w="959" w:type="dxa"/>
          </w:tcPr>
          <w:p w14:paraId="52BA29DC" w14:textId="485F589A" w:rsidR="00BC7582" w:rsidRPr="005A229C" w:rsidRDefault="00BC7582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3.3</w:t>
            </w:r>
          </w:p>
        </w:tc>
        <w:tc>
          <w:tcPr>
            <w:tcW w:w="3827" w:type="dxa"/>
          </w:tcPr>
          <w:p w14:paraId="4AE4CB24" w14:textId="77777777" w:rsidR="00BC7582" w:rsidRPr="005A229C" w:rsidRDefault="00BC7582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Are members transferring to the new employer from another Scheme employer?</w:t>
            </w:r>
          </w:p>
          <w:p w14:paraId="46520556" w14:textId="77777777" w:rsidR="00BC7582" w:rsidRPr="005A229C" w:rsidRDefault="00BC7582" w:rsidP="00BC7582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3A3853D" w14:textId="5FD34DDF" w:rsidR="00BC7582" w:rsidRPr="005A229C" w:rsidRDefault="00BC7582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</w:t>
            </w:r>
            <w:r w:rsidR="00CE25F8">
              <w:rPr>
                <w:rFonts w:ascii="Arial" w:hAnsi="Arial" w:cs="Arial"/>
              </w:rPr>
              <w:t>s</w:t>
            </w:r>
            <w:r w:rsidRPr="005A229C">
              <w:rPr>
                <w:rFonts w:ascii="Arial" w:hAnsi="Arial" w:cs="Arial"/>
              </w:rPr>
              <w:t xml:space="preserve">cheduled </w:t>
            </w:r>
            <w:r w:rsidR="00CE25F8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 xml:space="preserve">mployer may make several resolutions </w:t>
            </w:r>
            <w:proofErr w:type="gramStart"/>
            <w:r w:rsidRPr="005A229C">
              <w:rPr>
                <w:rFonts w:ascii="Arial" w:hAnsi="Arial" w:cs="Arial"/>
              </w:rPr>
              <w:t>in order to</w:t>
            </w:r>
            <w:proofErr w:type="gramEnd"/>
            <w:r w:rsidRPr="005A229C">
              <w:rPr>
                <w:rFonts w:ascii="Arial" w:hAnsi="Arial" w:cs="Arial"/>
              </w:rPr>
              <w:t xml:space="preserve"> cover all members transferring from existing </w:t>
            </w:r>
            <w:r w:rsidR="00CE25F8">
              <w:rPr>
                <w:rFonts w:ascii="Arial" w:hAnsi="Arial" w:cs="Arial"/>
              </w:rPr>
              <w:t>s</w:t>
            </w:r>
            <w:r w:rsidRPr="005A229C">
              <w:rPr>
                <w:rFonts w:ascii="Arial" w:hAnsi="Arial" w:cs="Arial"/>
              </w:rPr>
              <w:t>cheduled employers, as per the 2013 LGPS reg 3 (1) (b).</w:t>
            </w:r>
          </w:p>
          <w:p w14:paraId="433B5C90" w14:textId="77777777" w:rsidR="00BC7582" w:rsidRPr="005A229C" w:rsidRDefault="00BC7582" w:rsidP="00BC7582">
            <w:pPr>
              <w:rPr>
                <w:rFonts w:ascii="Arial" w:hAnsi="Arial" w:cs="Arial"/>
              </w:rPr>
            </w:pPr>
          </w:p>
          <w:p w14:paraId="575ACD43" w14:textId="77777777" w:rsidR="00BC7582" w:rsidRPr="005A229C" w:rsidRDefault="00BC7582" w:rsidP="00BC7582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Also see 4.2 and 4.3 below</w:t>
            </w:r>
          </w:p>
          <w:p w14:paraId="51817215" w14:textId="77777777" w:rsidR="00BC7582" w:rsidRPr="005A229C" w:rsidRDefault="00BC7582" w:rsidP="00BC758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C1AEA10" w14:textId="77777777" w:rsidR="00BC7582" w:rsidRPr="005A229C" w:rsidRDefault="00BC7582" w:rsidP="00BC7582">
            <w:pPr>
              <w:rPr>
                <w:rFonts w:ascii="Arial" w:hAnsi="Arial" w:cs="Arial"/>
              </w:rPr>
            </w:pPr>
          </w:p>
        </w:tc>
      </w:tr>
      <w:tr w:rsidR="00CE25F8" w:rsidRPr="005A229C" w14:paraId="5FF456DF" w14:textId="7187F81F" w:rsidTr="00626283">
        <w:tc>
          <w:tcPr>
            <w:tcW w:w="959" w:type="dxa"/>
            <w:shd w:val="clear" w:color="auto" w:fill="F2F2F2" w:themeFill="background1" w:themeFillShade="F2"/>
          </w:tcPr>
          <w:p w14:paraId="7041137C" w14:textId="261DDABA" w:rsidR="00CE25F8" w:rsidRPr="005A229C" w:rsidRDefault="00CE25F8" w:rsidP="00E80D7E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>4.</w:t>
            </w:r>
          </w:p>
          <w:p w14:paraId="0B956613" w14:textId="77777777" w:rsidR="00CE25F8" w:rsidRPr="005A229C" w:rsidRDefault="00CE25F8" w:rsidP="00E80D7E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7D799B46" w14:textId="2FBE4E12" w:rsidR="00CE25F8" w:rsidRPr="005A229C" w:rsidRDefault="00CE25F8" w:rsidP="00684AAB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>Actuarial matters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D46CB5C" w14:textId="77777777" w:rsidR="00CE25F8" w:rsidRPr="005A229C" w:rsidRDefault="00CE25F8" w:rsidP="00960629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0846ACC2" w14:textId="77777777" w:rsidR="00CE25F8" w:rsidRPr="005A229C" w:rsidRDefault="00CE25F8" w:rsidP="00960629">
            <w:pPr>
              <w:rPr>
                <w:rFonts w:ascii="Arial" w:hAnsi="Arial" w:cs="Arial"/>
                <w:b/>
              </w:rPr>
            </w:pPr>
          </w:p>
        </w:tc>
      </w:tr>
      <w:tr w:rsidR="00CE25F8" w:rsidRPr="005A229C" w14:paraId="2CA99EBC" w14:textId="1A5E4CBF" w:rsidTr="00626283">
        <w:tc>
          <w:tcPr>
            <w:tcW w:w="959" w:type="dxa"/>
          </w:tcPr>
          <w:p w14:paraId="3BB589AB" w14:textId="77777777" w:rsidR="00CE25F8" w:rsidRPr="005A229C" w:rsidRDefault="00CE25F8" w:rsidP="00E80D7E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4.1</w:t>
            </w:r>
          </w:p>
        </w:tc>
        <w:tc>
          <w:tcPr>
            <w:tcW w:w="3827" w:type="dxa"/>
          </w:tcPr>
          <w:p w14:paraId="3E6F4B19" w14:textId="6CCE7D73" w:rsidR="00CE25F8" w:rsidRPr="005A229C" w:rsidRDefault="00CE25F8" w:rsidP="00684AAB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Has the new Scheme </w:t>
            </w:r>
            <w:r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 xml:space="preserve">mployer requested a </w:t>
            </w:r>
            <w:r>
              <w:rPr>
                <w:rFonts w:ascii="Arial" w:hAnsi="Arial" w:cs="Arial"/>
              </w:rPr>
              <w:t>p</w:t>
            </w:r>
            <w:r w:rsidRPr="005A229C">
              <w:rPr>
                <w:rFonts w:ascii="Arial" w:hAnsi="Arial" w:cs="Arial"/>
              </w:rPr>
              <w:t xml:space="preserve">ensions </w:t>
            </w:r>
            <w:r>
              <w:rPr>
                <w:rFonts w:ascii="Arial" w:hAnsi="Arial" w:cs="Arial"/>
              </w:rPr>
              <w:t>i</w:t>
            </w:r>
            <w:r w:rsidRPr="005A229C">
              <w:rPr>
                <w:rFonts w:ascii="Arial" w:hAnsi="Arial" w:cs="Arial"/>
              </w:rPr>
              <w:t>nformation report from the Fund’s actuary?</w:t>
            </w:r>
          </w:p>
          <w:p w14:paraId="4EA0E016" w14:textId="77777777" w:rsidR="00CE25F8" w:rsidRPr="005A229C" w:rsidRDefault="00CE25F8" w:rsidP="00684AAB">
            <w:pPr>
              <w:rPr>
                <w:rFonts w:ascii="Arial" w:hAnsi="Arial" w:cs="Arial"/>
              </w:rPr>
            </w:pPr>
          </w:p>
          <w:p w14:paraId="0CC19C50" w14:textId="3652A9D3" w:rsidR="00CE25F8" w:rsidRPr="005A229C" w:rsidRDefault="00CE25F8" w:rsidP="00684AAB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Has it been agreed who will pay for the </w:t>
            </w:r>
            <w:r w:rsidR="007A0B15">
              <w:rPr>
                <w:rFonts w:ascii="Arial" w:hAnsi="Arial" w:cs="Arial"/>
              </w:rPr>
              <w:t>P</w:t>
            </w:r>
            <w:r w:rsidRPr="005A229C">
              <w:rPr>
                <w:rFonts w:ascii="Arial" w:hAnsi="Arial" w:cs="Arial"/>
              </w:rPr>
              <w:t xml:space="preserve">ension Fund actuary’s report? </w:t>
            </w:r>
          </w:p>
          <w:p w14:paraId="7A966740" w14:textId="77777777" w:rsidR="00CE25F8" w:rsidRPr="005A229C" w:rsidRDefault="00CE25F8" w:rsidP="00684AA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703F94F" w14:textId="552DF34C" w:rsidR="00CE25F8" w:rsidRPr="005A229C" w:rsidRDefault="00CE25F8" w:rsidP="00960629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Fund’s actuary prepares, as at the anticipated date of the </w:t>
            </w:r>
            <w:r w:rsidR="007A0B15">
              <w:rPr>
                <w:rFonts w:ascii="Arial" w:hAnsi="Arial" w:cs="Arial"/>
              </w:rPr>
              <w:t>n</w:t>
            </w:r>
            <w:r w:rsidRPr="005A229C">
              <w:rPr>
                <w:rFonts w:ascii="Arial" w:hAnsi="Arial" w:cs="Arial"/>
              </w:rPr>
              <w:t xml:space="preserve">ew </w:t>
            </w:r>
            <w:r w:rsidR="007A0B15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 xml:space="preserve">mployer joining the Scheme, a </w:t>
            </w:r>
            <w:r w:rsidR="007A0B15">
              <w:rPr>
                <w:rFonts w:ascii="Arial" w:hAnsi="Arial" w:cs="Arial"/>
              </w:rPr>
              <w:t>p</w:t>
            </w:r>
            <w:r w:rsidRPr="005A229C">
              <w:rPr>
                <w:rFonts w:ascii="Arial" w:hAnsi="Arial" w:cs="Arial"/>
              </w:rPr>
              <w:t xml:space="preserve">ensions </w:t>
            </w:r>
            <w:r w:rsidR="007A0B15">
              <w:rPr>
                <w:rFonts w:ascii="Arial" w:hAnsi="Arial" w:cs="Arial"/>
              </w:rPr>
              <w:t>i</w:t>
            </w:r>
            <w:r w:rsidRPr="005A229C">
              <w:rPr>
                <w:rFonts w:ascii="Arial" w:hAnsi="Arial" w:cs="Arial"/>
              </w:rPr>
              <w:t>nformation report which sets out:</w:t>
            </w:r>
          </w:p>
          <w:p w14:paraId="6E803DAA" w14:textId="724F0C6F" w:rsidR="00CE25F8" w:rsidRPr="005A229C" w:rsidRDefault="00CE25F8" w:rsidP="00BD2E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</w:t>
            </w:r>
            <w:r w:rsidR="007A0B15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>mployer contribution payable,</w:t>
            </w:r>
          </w:p>
          <w:p w14:paraId="48CA873D" w14:textId="065F6E76" w:rsidR="00CE25F8" w:rsidRPr="005A229C" w:rsidRDefault="00CE25F8" w:rsidP="00BD2E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value of bond </w:t>
            </w:r>
            <w:r w:rsidR="006E6A78">
              <w:rPr>
                <w:rFonts w:ascii="Arial" w:hAnsi="Arial" w:cs="Arial"/>
              </w:rPr>
              <w:t xml:space="preserve">or guarantee </w:t>
            </w:r>
            <w:r w:rsidRPr="005A229C">
              <w:rPr>
                <w:rFonts w:ascii="Arial" w:hAnsi="Arial" w:cs="Arial"/>
              </w:rPr>
              <w:t>required if applicable,</w:t>
            </w:r>
          </w:p>
          <w:p w14:paraId="1CB2F8F8" w14:textId="2E795CBE" w:rsidR="00CE25F8" w:rsidRPr="005A229C" w:rsidRDefault="00CE25F8" w:rsidP="00BD2E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an estimated opening statement of liabilities on a FRS</w:t>
            </w:r>
            <w:r w:rsidR="00810602">
              <w:rPr>
                <w:rFonts w:ascii="Arial" w:hAnsi="Arial" w:cs="Arial"/>
              </w:rPr>
              <w:t>102</w:t>
            </w:r>
            <w:r w:rsidRPr="005A229C">
              <w:rPr>
                <w:rFonts w:ascii="Arial" w:hAnsi="Arial" w:cs="Arial"/>
              </w:rPr>
              <w:t>/IAS19 basis.</w:t>
            </w:r>
          </w:p>
          <w:p w14:paraId="1905F25A" w14:textId="77777777" w:rsidR="00CE25F8" w:rsidRPr="005A229C" w:rsidRDefault="00CE25F8" w:rsidP="00960629">
            <w:pPr>
              <w:rPr>
                <w:rFonts w:ascii="Arial" w:hAnsi="Arial" w:cs="Arial"/>
              </w:rPr>
            </w:pPr>
          </w:p>
          <w:p w14:paraId="142F1946" w14:textId="56E0122C" w:rsidR="00CE25F8" w:rsidRPr="005A229C" w:rsidRDefault="00CE25F8" w:rsidP="00960629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</w:t>
            </w:r>
            <w:r w:rsidR="007A0B15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 xml:space="preserve">mployer contribution rate calculated by the actuary is based on members transferring to the new employer being transferred fully funded on an ongoing basis </w:t>
            </w:r>
            <w:r w:rsidR="007A0B15" w:rsidRPr="005A229C">
              <w:rPr>
                <w:rFonts w:ascii="Arial" w:hAnsi="Arial" w:cs="Arial"/>
              </w:rPr>
              <w:t>i.e.</w:t>
            </w:r>
            <w:r w:rsidRPr="005A229C">
              <w:rPr>
                <w:rFonts w:ascii="Arial" w:hAnsi="Arial" w:cs="Arial"/>
              </w:rPr>
              <w:t xml:space="preserve"> the employer’s pension liabilities are fully funded by </w:t>
            </w:r>
            <w:r w:rsidR="007A0B15">
              <w:rPr>
                <w:rFonts w:ascii="Arial" w:hAnsi="Arial" w:cs="Arial"/>
              </w:rPr>
              <w:t>P</w:t>
            </w:r>
            <w:r w:rsidRPr="005A229C">
              <w:rPr>
                <w:rFonts w:ascii="Arial" w:hAnsi="Arial" w:cs="Arial"/>
              </w:rPr>
              <w:t>ension Fund assets.</w:t>
            </w:r>
          </w:p>
          <w:p w14:paraId="6DE95D35" w14:textId="77777777" w:rsidR="00CE25F8" w:rsidRPr="005A229C" w:rsidRDefault="00CE25F8" w:rsidP="00960629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EB2ECB1" w14:textId="77777777" w:rsidR="00CE25F8" w:rsidRPr="005A229C" w:rsidRDefault="00CE25F8" w:rsidP="00960629">
            <w:pPr>
              <w:rPr>
                <w:rFonts w:ascii="Arial" w:hAnsi="Arial" w:cs="Arial"/>
              </w:rPr>
            </w:pPr>
          </w:p>
        </w:tc>
      </w:tr>
      <w:tr w:rsidR="00CE25F8" w:rsidRPr="005A229C" w14:paraId="32381B9B" w14:textId="212F09B6" w:rsidTr="00626283">
        <w:tc>
          <w:tcPr>
            <w:tcW w:w="959" w:type="dxa"/>
          </w:tcPr>
          <w:p w14:paraId="023B5C1B" w14:textId="77777777" w:rsidR="00CE25F8" w:rsidRPr="005A229C" w:rsidRDefault="00CE25F8" w:rsidP="00E80D7E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4.2</w:t>
            </w:r>
          </w:p>
        </w:tc>
        <w:tc>
          <w:tcPr>
            <w:tcW w:w="3827" w:type="dxa"/>
          </w:tcPr>
          <w:p w14:paraId="3A492810" w14:textId="00E7AA30" w:rsidR="00CE25F8" w:rsidRPr="005A229C" w:rsidRDefault="00CE25F8" w:rsidP="00960629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If the decision has been made regarding which staff are transferring to the new employer, has a ‘data capture</w:t>
            </w:r>
            <w:r w:rsidR="007A0B15">
              <w:rPr>
                <w:rFonts w:ascii="Arial" w:hAnsi="Arial" w:cs="Arial"/>
              </w:rPr>
              <w:t xml:space="preserve">’ </w:t>
            </w:r>
            <w:r w:rsidRPr="005A229C">
              <w:rPr>
                <w:rFonts w:ascii="Arial" w:hAnsi="Arial" w:cs="Arial"/>
              </w:rPr>
              <w:t xml:space="preserve">been completed and </w:t>
            </w:r>
            <w:r w:rsidR="00252CEF">
              <w:rPr>
                <w:rFonts w:ascii="Arial" w:hAnsi="Arial" w:cs="Arial"/>
              </w:rPr>
              <w:t xml:space="preserve">uploaded to the </w:t>
            </w:r>
            <w:hyperlink r:id="rId15" w:history="1">
              <w:r w:rsidR="00252CEF" w:rsidRPr="005F5D5F">
                <w:rPr>
                  <w:rStyle w:val="Hyperlink"/>
                  <w:rFonts w:ascii="Arial" w:hAnsi="Arial" w:cs="Arial"/>
                </w:rPr>
                <w:t>Fund website</w:t>
              </w:r>
            </w:hyperlink>
            <w:r w:rsidR="00252CEF">
              <w:rPr>
                <w:rFonts w:ascii="Arial" w:hAnsi="Arial" w:cs="Arial"/>
              </w:rPr>
              <w:t xml:space="preserve"> </w:t>
            </w:r>
          </w:p>
          <w:p w14:paraId="6999AB09" w14:textId="527899A6" w:rsidR="00CE25F8" w:rsidRDefault="00CE25F8" w:rsidP="00960629">
            <w:pPr>
              <w:rPr>
                <w:rFonts w:ascii="Arial" w:hAnsi="Arial" w:cs="Arial"/>
              </w:rPr>
            </w:pPr>
          </w:p>
          <w:p w14:paraId="2392C6C2" w14:textId="7FB35743" w:rsidR="006F662D" w:rsidRPr="005A229C" w:rsidRDefault="006F662D" w:rsidP="0096062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0DFBBE5" w14:textId="77777777" w:rsidR="00CE25F8" w:rsidRPr="005A229C" w:rsidRDefault="00CE25F8" w:rsidP="00BD2E84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This is required for the actuary’s report.</w:t>
            </w:r>
          </w:p>
        </w:tc>
        <w:tc>
          <w:tcPr>
            <w:tcW w:w="3827" w:type="dxa"/>
          </w:tcPr>
          <w:p w14:paraId="24944291" w14:textId="77777777" w:rsidR="00CE25F8" w:rsidRPr="005A229C" w:rsidRDefault="00CE25F8" w:rsidP="00BD2E84">
            <w:pPr>
              <w:rPr>
                <w:rFonts w:ascii="Arial" w:hAnsi="Arial" w:cs="Arial"/>
              </w:rPr>
            </w:pPr>
          </w:p>
        </w:tc>
      </w:tr>
    </w:tbl>
    <w:p w14:paraId="377CEAC0" w14:textId="77AB6792" w:rsidR="007A0B15" w:rsidRDefault="007A0B15"/>
    <w:p w14:paraId="6AFEEA88" w14:textId="77777777" w:rsidR="00626283" w:rsidRDefault="0062628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4394"/>
      </w:tblGrid>
      <w:tr w:rsidR="00CE25F8" w:rsidRPr="005A229C" w14:paraId="5DB0BD35" w14:textId="66CA7809" w:rsidTr="00BA2D74">
        <w:tc>
          <w:tcPr>
            <w:tcW w:w="959" w:type="dxa"/>
          </w:tcPr>
          <w:p w14:paraId="2D87D3DD" w14:textId="04DD43C1" w:rsidR="00CE25F8" w:rsidRPr="005A229C" w:rsidRDefault="00CE25F8" w:rsidP="00E80D7E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4.3</w:t>
            </w:r>
          </w:p>
        </w:tc>
        <w:tc>
          <w:tcPr>
            <w:tcW w:w="3827" w:type="dxa"/>
          </w:tcPr>
          <w:p w14:paraId="4ED794DC" w14:textId="6D7F8225" w:rsidR="00CE25F8" w:rsidRPr="005A229C" w:rsidRDefault="00CE25F8" w:rsidP="00B0110C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Does the transfer of </w:t>
            </w:r>
            <w:r w:rsidR="00EF244F">
              <w:rPr>
                <w:rFonts w:ascii="Arial" w:hAnsi="Arial" w:cs="Arial"/>
              </w:rPr>
              <w:t>s</w:t>
            </w:r>
            <w:r w:rsidRPr="005A229C">
              <w:rPr>
                <w:rFonts w:ascii="Arial" w:hAnsi="Arial" w:cs="Arial"/>
              </w:rPr>
              <w:t xml:space="preserve">cheme members result in an existing Scheme employer becoming an </w:t>
            </w:r>
            <w:proofErr w:type="spellStart"/>
            <w:r w:rsidR="007A0B15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>xiting</w:t>
            </w:r>
            <w:proofErr w:type="spellEnd"/>
            <w:r w:rsidRPr="005A229C">
              <w:rPr>
                <w:rFonts w:ascii="Arial" w:hAnsi="Arial" w:cs="Arial"/>
              </w:rPr>
              <w:t xml:space="preserve"> </w:t>
            </w:r>
            <w:r w:rsidR="007A0B15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 xml:space="preserve">mployer </w:t>
            </w:r>
            <w:r w:rsidR="007A0B15" w:rsidRPr="005A229C">
              <w:rPr>
                <w:rFonts w:ascii="Arial" w:hAnsi="Arial" w:cs="Arial"/>
              </w:rPr>
              <w:t>i.e.</w:t>
            </w:r>
            <w:r w:rsidRPr="005A229C">
              <w:rPr>
                <w:rFonts w:ascii="Arial" w:hAnsi="Arial" w:cs="Arial"/>
              </w:rPr>
              <w:t xml:space="preserve"> are all its</w:t>
            </w:r>
            <w:r w:rsidR="00EF244F">
              <w:rPr>
                <w:rFonts w:ascii="Arial" w:hAnsi="Arial" w:cs="Arial"/>
              </w:rPr>
              <w:t xml:space="preserve"> LGPS</w:t>
            </w:r>
            <w:r w:rsidRPr="005A229C">
              <w:rPr>
                <w:rFonts w:ascii="Arial" w:hAnsi="Arial" w:cs="Arial"/>
              </w:rPr>
              <w:t xml:space="preserve"> active members leaving the Scheme?</w:t>
            </w:r>
          </w:p>
          <w:p w14:paraId="3F769204" w14:textId="77777777" w:rsidR="00CE25F8" w:rsidRPr="005A229C" w:rsidRDefault="00CE25F8" w:rsidP="00B0110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2CC71FA" w14:textId="316CC652" w:rsidR="00CE25F8" w:rsidRPr="005A229C" w:rsidRDefault="00CE25F8" w:rsidP="00F0542F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actuary will calculate the value of the exit payment payable to the Fund and the Fund will seek settlement from </w:t>
            </w:r>
            <w:r w:rsidR="00AB1043">
              <w:rPr>
                <w:rFonts w:ascii="Arial" w:hAnsi="Arial" w:cs="Arial"/>
              </w:rPr>
              <w:t xml:space="preserve">the </w:t>
            </w:r>
            <w:r w:rsidRPr="005A229C">
              <w:rPr>
                <w:rFonts w:ascii="Arial" w:hAnsi="Arial" w:cs="Arial"/>
              </w:rPr>
              <w:t>exiting employer</w:t>
            </w:r>
            <w:r w:rsidR="00AB1043">
              <w:rPr>
                <w:rFonts w:ascii="Arial" w:hAnsi="Arial" w:cs="Arial"/>
              </w:rPr>
              <w:t>.</w:t>
            </w:r>
          </w:p>
          <w:p w14:paraId="383D6B72" w14:textId="77777777" w:rsidR="00CE25F8" w:rsidRPr="005A229C" w:rsidRDefault="00CE25F8" w:rsidP="00A50751">
            <w:pPr>
              <w:rPr>
                <w:rFonts w:ascii="Arial" w:hAnsi="Arial" w:cs="Arial"/>
              </w:rPr>
            </w:pPr>
          </w:p>
          <w:p w14:paraId="274FD646" w14:textId="097A313A" w:rsidR="00CE25F8" w:rsidRPr="005A229C" w:rsidRDefault="00CE25F8" w:rsidP="00A50751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The Fund will also seek to recover the cost of the actuary’s report from the exiting employer</w:t>
            </w:r>
            <w:r w:rsidR="00AB1043">
              <w:rPr>
                <w:rFonts w:ascii="Arial" w:hAnsi="Arial" w:cs="Arial"/>
              </w:rPr>
              <w:t>.</w:t>
            </w:r>
          </w:p>
          <w:p w14:paraId="3CDBF773" w14:textId="77777777" w:rsidR="00CE25F8" w:rsidRPr="005A229C" w:rsidRDefault="00CE25F8" w:rsidP="00A5075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06BD66D" w14:textId="77777777" w:rsidR="00CE25F8" w:rsidRPr="005A229C" w:rsidRDefault="00CE25F8" w:rsidP="00F0542F">
            <w:pPr>
              <w:rPr>
                <w:rFonts w:ascii="Arial" w:hAnsi="Arial" w:cs="Arial"/>
              </w:rPr>
            </w:pPr>
          </w:p>
        </w:tc>
      </w:tr>
      <w:tr w:rsidR="00CE25F8" w:rsidRPr="005A229C" w14:paraId="470BC90D" w14:textId="440DCF51" w:rsidTr="00BA2D74">
        <w:tc>
          <w:tcPr>
            <w:tcW w:w="959" w:type="dxa"/>
            <w:shd w:val="clear" w:color="auto" w:fill="FFFFFF" w:themeFill="background1"/>
          </w:tcPr>
          <w:p w14:paraId="60579090" w14:textId="77777777" w:rsidR="00CE25F8" w:rsidRPr="005A229C" w:rsidRDefault="00CE25F8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4.4</w:t>
            </w:r>
          </w:p>
        </w:tc>
        <w:tc>
          <w:tcPr>
            <w:tcW w:w="3827" w:type="dxa"/>
            <w:shd w:val="clear" w:color="auto" w:fill="FFFFFF" w:themeFill="background1"/>
          </w:tcPr>
          <w:p w14:paraId="51A19A2B" w14:textId="18F255E5" w:rsidR="00CE25F8" w:rsidRPr="005A229C" w:rsidRDefault="00CE25F8" w:rsidP="00A97ED6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Is the new Scheme </w:t>
            </w:r>
            <w:r w:rsidR="007A0B15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>mployer aware that it should</w:t>
            </w:r>
            <w:r w:rsidR="00260684">
              <w:rPr>
                <w:rFonts w:ascii="Arial" w:hAnsi="Arial" w:cs="Arial"/>
              </w:rPr>
              <w:t xml:space="preserve"> consider an</w:t>
            </w:r>
            <w:r w:rsidRPr="005A229C">
              <w:rPr>
                <w:rFonts w:ascii="Arial" w:hAnsi="Arial" w:cs="Arial"/>
              </w:rPr>
              <w:t xml:space="preserve"> annua</w:t>
            </w:r>
            <w:r w:rsidR="000A067D">
              <w:rPr>
                <w:rFonts w:ascii="Arial" w:hAnsi="Arial" w:cs="Arial"/>
              </w:rPr>
              <w:t>l</w:t>
            </w:r>
            <w:r w:rsidRPr="005A229C">
              <w:rPr>
                <w:rFonts w:ascii="Arial" w:hAnsi="Arial" w:cs="Arial"/>
              </w:rPr>
              <w:t xml:space="preserve"> account for its pension liabilities on a FRS</w:t>
            </w:r>
            <w:r w:rsidR="003117D8">
              <w:rPr>
                <w:rFonts w:ascii="Arial" w:hAnsi="Arial" w:cs="Arial"/>
              </w:rPr>
              <w:t>102</w:t>
            </w:r>
            <w:r w:rsidRPr="005A229C">
              <w:rPr>
                <w:rFonts w:ascii="Arial" w:hAnsi="Arial" w:cs="Arial"/>
              </w:rPr>
              <w:t>/IAS19 basis?</w:t>
            </w:r>
          </w:p>
        </w:tc>
        <w:tc>
          <w:tcPr>
            <w:tcW w:w="4394" w:type="dxa"/>
            <w:shd w:val="clear" w:color="auto" w:fill="FFFFFF" w:themeFill="background1"/>
          </w:tcPr>
          <w:p w14:paraId="3FA44D1F" w14:textId="3997608F" w:rsidR="00CE25F8" w:rsidRPr="005A229C" w:rsidRDefault="00CE25F8" w:rsidP="00ED75F5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This is likely to be necessary </w:t>
            </w:r>
            <w:proofErr w:type="gramStart"/>
            <w:r w:rsidRPr="005A229C">
              <w:rPr>
                <w:rFonts w:ascii="Arial" w:hAnsi="Arial" w:cs="Arial"/>
              </w:rPr>
              <w:t>in order to</w:t>
            </w:r>
            <w:proofErr w:type="gramEnd"/>
            <w:r w:rsidRPr="005A229C">
              <w:rPr>
                <w:rFonts w:ascii="Arial" w:hAnsi="Arial" w:cs="Arial"/>
              </w:rPr>
              <w:t xml:space="preserve"> produce the new </w:t>
            </w:r>
            <w:r w:rsidR="007A0B15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>mployer’s year end accounts.</w:t>
            </w:r>
          </w:p>
          <w:p w14:paraId="1D2F6E83" w14:textId="77777777" w:rsidR="00CE25F8" w:rsidRPr="005A229C" w:rsidRDefault="00CE25F8" w:rsidP="00ED75F5">
            <w:pPr>
              <w:rPr>
                <w:rFonts w:ascii="Arial" w:hAnsi="Arial" w:cs="Arial"/>
              </w:rPr>
            </w:pPr>
          </w:p>
          <w:p w14:paraId="3FAF5FAC" w14:textId="23D5EBF7" w:rsidR="00CE25F8" w:rsidRPr="005A229C" w:rsidRDefault="00CE25F8" w:rsidP="004A27BE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new </w:t>
            </w:r>
            <w:r w:rsidR="007A0B15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>mployer may commission a FRS</w:t>
            </w:r>
            <w:r w:rsidR="003117D8">
              <w:rPr>
                <w:rFonts w:ascii="Arial" w:hAnsi="Arial" w:cs="Arial"/>
              </w:rPr>
              <w:t>102</w:t>
            </w:r>
            <w:r w:rsidRPr="005A229C">
              <w:rPr>
                <w:rFonts w:ascii="Arial" w:hAnsi="Arial" w:cs="Arial"/>
              </w:rPr>
              <w:t>/IAS19 report from the Fund’s actuary or engage their own actuary to provide a report.</w:t>
            </w:r>
          </w:p>
          <w:p w14:paraId="45F61948" w14:textId="77777777" w:rsidR="00CE25F8" w:rsidRPr="005A229C" w:rsidRDefault="00CE25F8" w:rsidP="004A27BE">
            <w:pPr>
              <w:rPr>
                <w:rFonts w:ascii="Arial" w:hAnsi="Arial" w:cs="Arial"/>
              </w:rPr>
            </w:pPr>
          </w:p>
          <w:p w14:paraId="0D34CA28" w14:textId="45C82BCC" w:rsidR="00CE25F8" w:rsidRPr="005A229C" w:rsidRDefault="00CE25F8" w:rsidP="004A27BE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Disclosure of pension liabilities must be agreed with the </w:t>
            </w:r>
            <w:r w:rsidR="007A0B15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>mployer’s auditors.</w:t>
            </w:r>
          </w:p>
          <w:p w14:paraId="3D3C22B2" w14:textId="77777777" w:rsidR="00CE25F8" w:rsidRPr="005A229C" w:rsidRDefault="00CE25F8" w:rsidP="004A27B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0D72759" w14:textId="77777777" w:rsidR="00CE25F8" w:rsidRPr="005A229C" w:rsidRDefault="00CE25F8" w:rsidP="00ED75F5">
            <w:pPr>
              <w:rPr>
                <w:rFonts w:ascii="Arial" w:hAnsi="Arial" w:cs="Arial"/>
              </w:rPr>
            </w:pPr>
          </w:p>
        </w:tc>
      </w:tr>
      <w:tr w:rsidR="00CE25F8" w:rsidRPr="005A229C" w14:paraId="2FDFBAB7" w14:textId="390D6D3B" w:rsidTr="00BA2D74">
        <w:tc>
          <w:tcPr>
            <w:tcW w:w="959" w:type="dxa"/>
            <w:shd w:val="clear" w:color="auto" w:fill="FFFFFF" w:themeFill="background1"/>
          </w:tcPr>
          <w:p w14:paraId="2A2CCF04" w14:textId="77777777" w:rsidR="00CE25F8" w:rsidRPr="005A229C" w:rsidRDefault="00CE25F8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4.5</w:t>
            </w:r>
          </w:p>
        </w:tc>
        <w:tc>
          <w:tcPr>
            <w:tcW w:w="3827" w:type="dxa"/>
            <w:shd w:val="clear" w:color="auto" w:fill="FFFFFF" w:themeFill="background1"/>
          </w:tcPr>
          <w:p w14:paraId="140E9762" w14:textId="183266B7" w:rsidR="00CE25F8" w:rsidRPr="005A229C" w:rsidRDefault="00CE25F8" w:rsidP="00A97ED6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The new Scheme </w:t>
            </w:r>
            <w:r w:rsidR="007A0B15"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 xml:space="preserve">mployer is liable to reimburse the </w:t>
            </w:r>
            <w:r w:rsidR="007A0B15">
              <w:rPr>
                <w:rFonts w:ascii="Arial" w:hAnsi="Arial" w:cs="Arial"/>
              </w:rPr>
              <w:t>P</w:t>
            </w:r>
            <w:r w:rsidRPr="005A229C">
              <w:rPr>
                <w:rFonts w:ascii="Arial" w:hAnsi="Arial" w:cs="Arial"/>
              </w:rPr>
              <w:t>ension Fund for the costs of any reports it commissions from the Pension Fund’s actuary.</w:t>
            </w:r>
          </w:p>
          <w:p w14:paraId="0ED256A8" w14:textId="77777777" w:rsidR="00CE25F8" w:rsidRPr="005A229C" w:rsidRDefault="00CE25F8" w:rsidP="00A97ED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6532C85" w14:textId="609B2962" w:rsidR="00CE25F8" w:rsidRPr="005A229C" w:rsidRDefault="00CE25F8" w:rsidP="004A27BE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The Fund charges for the actuary’s reports on a user pays basis</w:t>
            </w:r>
            <w:r w:rsidR="007A0B15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14:paraId="5324397D" w14:textId="77777777" w:rsidR="00CE25F8" w:rsidRPr="005A229C" w:rsidRDefault="00CE25F8" w:rsidP="004A27BE">
            <w:pPr>
              <w:rPr>
                <w:rFonts w:ascii="Arial" w:hAnsi="Arial" w:cs="Arial"/>
              </w:rPr>
            </w:pPr>
          </w:p>
        </w:tc>
      </w:tr>
    </w:tbl>
    <w:p w14:paraId="16FDF23C" w14:textId="77777777" w:rsidR="000C5CE7" w:rsidRPr="005A229C" w:rsidRDefault="000C5CE7">
      <w:pPr>
        <w:rPr>
          <w:rFonts w:ascii="Arial" w:hAnsi="Arial" w:cs="Arial"/>
        </w:rPr>
      </w:pPr>
      <w:r w:rsidRPr="005A229C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4394"/>
      </w:tblGrid>
      <w:tr w:rsidR="007A0B15" w:rsidRPr="005A229C" w14:paraId="5C72BF90" w14:textId="73ED7B86" w:rsidTr="00DC0B4E">
        <w:tc>
          <w:tcPr>
            <w:tcW w:w="959" w:type="dxa"/>
            <w:shd w:val="clear" w:color="auto" w:fill="F2F2F2" w:themeFill="background1" w:themeFillShade="F2"/>
          </w:tcPr>
          <w:p w14:paraId="350AD480" w14:textId="54FD5DA2" w:rsidR="007A0B15" w:rsidRPr="005A229C" w:rsidRDefault="007A0B15" w:rsidP="007A0B15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</w:rPr>
              <w:lastRenderedPageBreak/>
              <w:br w:type="page"/>
            </w:r>
            <w:r w:rsidRPr="005A229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433D6D6" w14:textId="4C96BADD" w:rsidR="007A0B15" w:rsidRPr="005A229C" w:rsidRDefault="007A0B15" w:rsidP="007A0B15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>Early retirement costs/premature retirement compensation/ fall in local authority payroll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3C58B02" w14:textId="77777777" w:rsidR="007A0B15" w:rsidRPr="005A229C" w:rsidRDefault="007A0B15" w:rsidP="007A0B1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78A8CBBF" w14:textId="77777777" w:rsidR="007A0B15" w:rsidRPr="005A229C" w:rsidRDefault="007A0B15" w:rsidP="007A0B15">
            <w:pPr>
              <w:rPr>
                <w:rFonts w:ascii="Arial" w:hAnsi="Arial" w:cs="Arial"/>
                <w:b/>
              </w:rPr>
            </w:pPr>
          </w:p>
        </w:tc>
      </w:tr>
      <w:tr w:rsidR="007A0B15" w:rsidRPr="005A229C" w14:paraId="214068EE" w14:textId="7E9D5931" w:rsidTr="00DC0B4E">
        <w:tc>
          <w:tcPr>
            <w:tcW w:w="959" w:type="dxa"/>
          </w:tcPr>
          <w:p w14:paraId="392BF079" w14:textId="77777777" w:rsidR="007A0B15" w:rsidRPr="005A229C" w:rsidRDefault="007A0B15" w:rsidP="007A0B15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5.1</w:t>
            </w:r>
          </w:p>
        </w:tc>
        <w:tc>
          <w:tcPr>
            <w:tcW w:w="3827" w:type="dxa"/>
          </w:tcPr>
          <w:p w14:paraId="65B520C8" w14:textId="4404DDF4" w:rsidR="007A0B15" w:rsidRPr="00652E2A" w:rsidRDefault="0053570A" w:rsidP="007A0B15">
            <w:pPr>
              <w:rPr>
                <w:rFonts w:ascii="Arial" w:hAnsi="Arial" w:cs="Arial"/>
              </w:rPr>
            </w:pPr>
            <w:r w:rsidRPr="00652E2A">
              <w:rPr>
                <w:rFonts w:ascii="Arial" w:hAnsi="Arial" w:cs="Arial"/>
                <w:bCs/>
                <w:color w:val="000000" w:themeColor="text1"/>
              </w:rPr>
              <w:t xml:space="preserve">The new </w:t>
            </w:r>
            <w:r w:rsidR="00961E98">
              <w:rPr>
                <w:rFonts w:ascii="Arial" w:hAnsi="Arial" w:cs="Arial"/>
                <w:bCs/>
                <w:color w:val="000000" w:themeColor="text1"/>
              </w:rPr>
              <w:t>employer</w:t>
            </w:r>
            <w:r w:rsidR="009D0A2E" w:rsidRPr="00652E2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7A0B15" w:rsidRPr="00652E2A">
              <w:rPr>
                <w:rFonts w:ascii="Arial" w:hAnsi="Arial" w:cs="Arial"/>
                <w:color w:val="000000" w:themeColor="text1"/>
              </w:rPr>
              <w:t xml:space="preserve">reimburses </w:t>
            </w:r>
            <w:r w:rsidR="007A0B15" w:rsidRPr="00652E2A">
              <w:rPr>
                <w:rFonts w:ascii="Arial" w:hAnsi="Arial" w:cs="Arial"/>
              </w:rPr>
              <w:t xml:space="preserve">costs incurred by the Pension Fund relating to the early retirement of members. Has it been agreed who is responsible for paying outstanding instalments relating to staff transferring from </w:t>
            </w:r>
            <w:r w:rsidRPr="00652E2A">
              <w:rPr>
                <w:rFonts w:ascii="Arial" w:hAnsi="Arial" w:cs="Arial"/>
                <w:bCs/>
                <w:color w:val="000000" w:themeColor="text1"/>
              </w:rPr>
              <w:t>the ceding employer</w:t>
            </w:r>
            <w:r w:rsidRPr="00626283">
              <w:rPr>
                <w:rFonts w:ascii="Arial" w:hAnsi="Arial" w:cs="Arial"/>
                <w:bCs/>
              </w:rPr>
              <w:t xml:space="preserve"> </w:t>
            </w:r>
            <w:r w:rsidR="005F5D5F" w:rsidRPr="00626283">
              <w:rPr>
                <w:rFonts w:ascii="Arial" w:hAnsi="Arial" w:cs="Arial"/>
                <w:b/>
                <w:bCs/>
              </w:rPr>
              <w:t xml:space="preserve">pre </w:t>
            </w:r>
            <w:r w:rsidR="007A0B15" w:rsidRPr="00652E2A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7A0B15" w:rsidRPr="00652E2A">
              <w:rPr>
                <w:rFonts w:ascii="Arial" w:hAnsi="Arial" w:cs="Arial"/>
              </w:rPr>
              <w:t>date of transfer?</w:t>
            </w:r>
          </w:p>
          <w:p w14:paraId="70B775CA" w14:textId="77777777" w:rsidR="007A0B15" w:rsidRPr="00652E2A" w:rsidRDefault="007A0B15" w:rsidP="007A0B1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92EBE1E" w14:textId="6417DABF" w:rsidR="007A0B15" w:rsidRPr="00652E2A" w:rsidRDefault="0053570A" w:rsidP="007A0B15">
            <w:pPr>
              <w:rPr>
                <w:rFonts w:ascii="Arial" w:hAnsi="Arial" w:cs="Arial"/>
              </w:rPr>
            </w:pPr>
            <w:r w:rsidRPr="00652E2A">
              <w:rPr>
                <w:rFonts w:ascii="Arial" w:hAnsi="Arial" w:cs="Arial"/>
                <w:bCs/>
                <w:color w:val="000000" w:themeColor="text1"/>
              </w:rPr>
              <w:t xml:space="preserve">The Ceding employer(s) </w:t>
            </w:r>
            <w:r w:rsidR="007A0B15" w:rsidRPr="00652E2A">
              <w:rPr>
                <w:rFonts w:ascii="Arial" w:hAnsi="Arial" w:cs="Arial"/>
                <w:color w:val="000000" w:themeColor="text1"/>
              </w:rPr>
              <w:t xml:space="preserve">and the new employer must agree who is liable to pay the Fund for the </w:t>
            </w:r>
            <w:r w:rsidR="007A0B15" w:rsidRPr="00652E2A">
              <w:rPr>
                <w:rFonts w:ascii="Arial" w:hAnsi="Arial" w:cs="Arial"/>
                <w:bCs/>
                <w:color w:val="000000" w:themeColor="text1"/>
              </w:rPr>
              <w:t>outstanding</w:t>
            </w:r>
            <w:r w:rsidR="005C645B">
              <w:rPr>
                <w:rFonts w:ascii="Arial" w:hAnsi="Arial" w:cs="Arial"/>
                <w:bCs/>
                <w:color w:val="000000" w:themeColor="text1"/>
              </w:rPr>
              <w:t xml:space="preserve"> strain cost</w:t>
            </w:r>
            <w:r w:rsidR="007A0B15" w:rsidRPr="00652E2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A0B15" w:rsidRPr="00652E2A">
              <w:rPr>
                <w:rFonts w:ascii="Arial" w:hAnsi="Arial" w:cs="Arial"/>
                <w:bCs/>
                <w:color w:val="000000" w:themeColor="text1"/>
              </w:rPr>
              <w:t>instalments</w:t>
            </w:r>
            <w:r w:rsidR="007A0B15" w:rsidRPr="00652E2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394" w:type="dxa"/>
          </w:tcPr>
          <w:p w14:paraId="7573A1E9" w14:textId="77777777" w:rsidR="007A0B15" w:rsidRPr="005A229C" w:rsidRDefault="007A0B15" w:rsidP="007A0B15">
            <w:pPr>
              <w:rPr>
                <w:rFonts w:ascii="Arial" w:hAnsi="Arial" w:cs="Arial"/>
              </w:rPr>
            </w:pPr>
          </w:p>
        </w:tc>
      </w:tr>
      <w:tr w:rsidR="007A0B15" w:rsidRPr="005A229C" w14:paraId="43500154" w14:textId="7017643F" w:rsidTr="00DC0B4E">
        <w:tc>
          <w:tcPr>
            <w:tcW w:w="959" w:type="dxa"/>
          </w:tcPr>
          <w:p w14:paraId="3F0638BE" w14:textId="77777777" w:rsidR="007A0B15" w:rsidRPr="005A229C" w:rsidRDefault="007A0B15" w:rsidP="007A0B15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5.2</w:t>
            </w:r>
          </w:p>
        </w:tc>
        <w:tc>
          <w:tcPr>
            <w:tcW w:w="3827" w:type="dxa"/>
          </w:tcPr>
          <w:p w14:paraId="6CBBB965" w14:textId="7814446E" w:rsidR="007A0B15" w:rsidRPr="00652E2A" w:rsidRDefault="007A0B15" w:rsidP="007A0B15">
            <w:pPr>
              <w:rPr>
                <w:rFonts w:ascii="Arial" w:hAnsi="Arial" w:cs="Arial"/>
              </w:rPr>
            </w:pPr>
            <w:r w:rsidRPr="00652E2A">
              <w:rPr>
                <w:rFonts w:ascii="Arial" w:hAnsi="Arial" w:cs="Arial"/>
              </w:rPr>
              <w:t>Staff</w:t>
            </w:r>
            <w:r w:rsidR="00BE3209">
              <w:rPr>
                <w:rFonts w:ascii="Arial" w:hAnsi="Arial" w:cs="Arial"/>
              </w:rPr>
              <w:t xml:space="preserve"> who were</w:t>
            </w:r>
            <w:r w:rsidRPr="00652E2A">
              <w:rPr>
                <w:rFonts w:ascii="Arial" w:hAnsi="Arial" w:cs="Arial"/>
              </w:rPr>
              <w:t xml:space="preserve"> employed by </w:t>
            </w:r>
            <w:r w:rsidR="00652E2A" w:rsidRPr="00652E2A">
              <w:rPr>
                <w:rFonts w:ascii="Arial" w:hAnsi="Arial" w:cs="Arial"/>
                <w:bCs/>
                <w:color w:val="000000" w:themeColor="text1"/>
              </w:rPr>
              <w:t>t</w:t>
            </w:r>
            <w:r w:rsidR="0053570A" w:rsidRPr="00652E2A">
              <w:rPr>
                <w:rFonts w:ascii="Arial" w:hAnsi="Arial" w:cs="Arial"/>
                <w:bCs/>
                <w:color w:val="000000" w:themeColor="text1"/>
              </w:rPr>
              <w:t xml:space="preserve">he Ceding employer(s) </w:t>
            </w:r>
            <w:r w:rsidRPr="00652E2A">
              <w:rPr>
                <w:rFonts w:ascii="Arial" w:hAnsi="Arial" w:cs="Arial"/>
              </w:rPr>
              <w:t xml:space="preserve">who retired prior to 1997 </w:t>
            </w:r>
            <w:r w:rsidR="00D62C51">
              <w:rPr>
                <w:rFonts w:ascii="Arial" w:hAnsi="Arial" w:cs="Arial"/>
              </w:rPr>
              <w:t xml:space="preserve">may </w:t>
            </w:r>
            <w:r w:rsidR="00626283">
              <w:rPr>
                <w:rFonts w:ascii="Arial" w:hAnsi="Arial" w:cs="Arial"/>
              </w:rPr>
              <w:t>have</w:t>
            </w:r>
            <w:r w:rsidR="00D62C51">
              <w:rPr>
                <w:rFonts w:ascii="Arial" w:hAnsi="Arial" w:cs="Arial"/>
              </w:rPr>
              <w:t xml:space="preserve"> been</w:t>
            </w:r>
            <w:r w:rsidRPr="00652E2A">
              <w:rPr>
                <w:rFonts w:ascii="Arial" w:hAnsi="Arial" w:cs="Arial"/>
              </w:rPr>
              <w:t xml:space="preserve"> awarded premature retirement compensation on redundancy / efficiency. Has it been agreed who will be responsible for bearing the future cost of this compensation?</w:t>
            </w:r>
          </w:p>
          <w:p w14:paraId="78C458DD" w14:textId="77777777" w:rsidR="007A0B15" w:rsidRPr="00652E2A" w:rsidRDefault="007A0B15" w:rsidP="007A0B1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F921C2F" w14:textId="720AA500" w:rsidR="007A0B15" w:rsidRPr="00652E2A" w:rsidRDefault="0053570A" w:rsidP="007A0B15">
            <w:pPr>
              <w:rPr>
                <w:rFonts w:ascii="Arial" w:hAnsi="Arial" w:cs="Arial"/>
              </w:rPr>
            </w:pPr>
            <w:r w:rsidRPr="00652E2A">
              <w:rPr>
                <w:rFonts w:ascii="Arial" w:hAnsi="Arial" w:cs="Arial"/>
                <w:bCs/>
                <w:color w:val="000000" w:themeColor="text1"/>
              </w:rPr>
              <w:t xml:space="preserve">The Ceding employer(s) </w:t>
            </w:r>
            <w:r w:rsidR="007A0B15" w:rsidRPr="00652E2A">
              <w:rPr>
                <w:rFonts w:ascii="Arial" w:hAnsi="Arial" w:cs="Arial"/>
              </w:rPr>
              <w:t xml:space="preserve">and the new employer </w:t>
            </w:r>
            <w:r w:rsidR="007A0B15" w:rsidRPr="00652E2A">
              <w:rPr>
                <w:rFonts w:ascii="Arial" w:hAnsi="Arial" w:cs="Arial"/>
                <w:b/>
              </w:rPr>
              <w:t>must</w:t>
            </w:r>
            <w:r w:rsidR="007A0B15" w:rsidRPr="00652E2A">
              <w:rPr>
                <w:rFonts w:ascii="Arial" w:hAnsi="Arial" w:cs="Arial"/>
              </w:rPr>
              <w:t xml:space="preserve"> agree who will pay.</w:t>
            </w:r>
          </w:p>
        </w:tc>
        <w:tc>
          <w:tcPr>
            <w:tcW w:w="4394" w:type="dxa"/>
          </w:tcPr>
          <w:p w14:paraId="4C6DC7C9" w14:textId="77777777" w:rsidR="007A0B15" w:rsidRPr="005A229C" w:rsidRDefault="007A0B15" w:rsidP="007A0B15">
            <w:pPr>
              <w:rPr>
                <w:rFonts w:ascii="Arial" w:hAnsi="Arial" w:cs="Arial"/>
              </w:rPr>
            </w:pPr>
          </w:p>
        </w:tc>
      </w:tr>
      <w:tr w:rsidR="007A0B15" w:rsidRPr="005A229C" w14:paraId="7F2382FC" w14:textId="2A965073" w:rsidTr="00DC0B4E">
        <w:tc>
          <w:tcPr>
            <w:tcW w:w="959" w:type="dxa"/>
          </w:tcPr>
          <w:p w14:paraId="6F4FCD94" w14:textId="77777777" w:rsidR="007A0B15" w:rsidRPr="005A229C" w:rsidRDefault="007A0B15" w:rsidP="007A0B15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5.3</w:t>
            </w:r>
          </w:p>
        </w:tc>
        <w:tc>
          <w:tcPr>
            <w:tcW w:w="3827" w:type="dxa"/>
          </w:tcPr>
          <w:p w14:paraId="638E8D57" w14:textId="182B7E2E" w:rsidR="007A0B15" w:rsidRPr="00652E2A" w:rsidRDefault="007A0B15" w:rsidP="007A0B15">
            <w:pPr>
              <w:rPr>
                <w:rFonts w:ascii="Arial" w:hAnsi="Arial" w:cs="Arial"/>
              </w:rPr>
            </w:pPr>
            <w:r w:rsidRPr="00652E2A">
              <w:rPr>
                <w:rFonts w:ascii="Arial" w:hAnsi="Arial" w:cs="Arial"/>
              </w:rPr>
              <w:t xml:space="preserve">Has it been agreed that the new employer is responsible for reimbursing the Fund for costs associated with the early retirement of its </w:t>
            </w:r>
            <w:r w:rsidRPr="00626283">
              <w:rPr>
                <w:rFonts w:ascii="Arial" w:hAnsi="Arial" w:cs="Arial"/>
              </w:rPr>
              <w:t xml:space="preserve">members </w:t>
            </w:r>
            <w:r w:rsidR="005F5D5F" w:rsidRPr="00626283">
              <w:rPr>
                <w:rFonts w:ascii="Arial" w:hAnsi="Arial" w:cs="Arial"/>
                <w:b/>
                <w:bCs/>
              </w:rPr>
              <w:t>post</w:t>
            </w:r>
            <w:r w:rsidRPr="00626283">
              <w:rPr>
                <w:rFonts w:ascii="Arial" w:hAnsi="Arial" w:cs="Arial"/>
              </w:rPr>
              <w:t xml:space="preserve"> the </w:t>
            </w:r>
            <w:r w:rsidRPr="00652E2A">
              <w:rPr>
                <w:rFonts w:ascii="Arial" w:hAnsi="Arial" w:cs="Arial"/>
              </w:rPr>
              <w:t>date of transfer?</w:t>
            </w:r>
          </w:p>
          <w:p w14:paraId="6ED13611" w14:textId="77777777" w:rsidR="007A0B15" w:rsidRPr="00652E2A" w:rsidRDefault="007A0B15" w:rsidP="007A0B1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B1426DB" w14:textId="5E1EF8F8" w:rsidR="007A0B15" w:rsidRPr="00652E2A" w:rsidRDefault="0053570A" w:rsidP="007A0B15">
            <w:pPr>
              <w:rPr>
                <w:rFonts w:ascii="Arial" w:hAnsi="Arial" w:cs="Arial"/>
              </w:rPr>
            </w:pPr>
            <w:r w:rsidRPr="00652E2A">
              <w:rPr>
                <w:rFonts w:ascii="Arial" w:hAnsi="Arial" w:cs="Arial"/>
                <w:bCs/>
                <w:color w:val="000000" w:themeColor="text1"/>
              </w:rPr>
              <w:t xml:space="preserve">The Ceding employer(s) </w:t>
            </w:r>
            <w:r w:rsidR="007A0B15" w:rsidRPr="00652E2A">
              <w:rPr>
                <w:rFonts w:ascii="Arial" w:hAnsi="Arial" w:cs="Arial"/>
              </w:rPr>
              <w:t xml:space="preserve">and the new employer </w:t>
            </w:r>
            <w:r w:rsidR="007A0B15" w:rsidRPr="00652E2A">
              <w:rPr>
                <w:rFonts w:ascii="Arial" w:hAnsi="Arial" w:cs="Arial"/>
                <w:b/>
              </w:rPr>
              <w:t>must</w:t>
            </w:r>
            <w:r w:rsidR="007A0B15" w:rsidRPr="00652E2A">
              <w:rPr>
                <w:rFonts w:ascii="Arial" w:hAnsi="Arial" w:cs="Arial"/>
              </w:rPr>
              <w:t xml:space="preserve"> agree who will pay.</w:t>
            </w:r>
          </w:p>
        </w:tc>
        <w:tc>
          <w:tcPr>
            <w:tcW w:w="4394" w:type="dxa"/>
          </w:tcPr>
          <w:p w14:paraId="63990ADD" w14:textId="77777777" w:rsidR="007A0B15" w:rsidRPr="005A229C" w:rsidRDefault="007A0B15" w:rsidP="007A0B15">
            <w:pPr>
              <w:rPr>
                <w:rFonts w:ascii="Arial" w:hAnsi="Arial" w:cs="Arial"/>
              </w:rPr>
            </w:pPr>
          </w:p>
        </w:tc>
      </w:tr>
      <w:tr w:rsidR="007A0B15" w:rsidRPr="005A229C" w14:paraId="1941735A" w14:textId="0142BE3E" w:rsidTr="00DC0B4E">
        <w:tc>
          <w:tcPr>
            <w:tcW w:w="959" w:type="dxa"/>
          </w:tcPr>
          <w:p w14:paraId="24CB1740" w14:textId="4E03F0A4" w:rsidR="007A0B15" w:rsidRPr="005A229C" w:rsidRDefault="007A0B15" w:rsidP="007A0B15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5.4</w:t>
            </w:r>
          </w:p>
        </w:tc>
        <w:tc>
          <w:tcPr>
            <w:tcW w:w="3827" w:type="dxa"/>
          </w:tcPr>
          <w:p w14:paraId="1E47C187" w14:textId="579458CA" w:rsidR="007A0B15" w:rsidRPr="005A229C" w:rsidRDefault="007A0B15" w:rsidP="007A0B15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What action, if any, is required </w:t>
            </w:r>
            <w:proofErr w:type="gramStart"/>
            <w:r w:rsidRPr="005A229C">
              <w:rPr>
                <w:rFonts w:ascii="Arial" w:hAnsi="Arial" w:cs="Arial"/>
              </w:rPr>
              <w:t>as a result of</w:t>
            </w:r>
            <w:proofErr w:type="gramEnd"/>
            <w:r w:rsidRPr="005A229C">
              <w:rPr>
                <w:rFonts w:ascii="Arial" w:hAnsi="Arial" w:cs="Arial"/>
              </w:rPr>
              <w:t xml:space="preserve"> the fall in the local authority payroll re maintaining the level of historical employer deficit contributions?</w:t>
            </w:r>
            <w:r w:rsidR="009967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</w:tcPr>
          <w:p w14:paraId="41D81243" w14:textId="77777777" w:rsidR="007A0B15" w:rsidRPr="005A229C" w:rsidRDefault="007A0B15" w:rsidP="007A0B1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88910F5" w14:textId="77777777" w:rsidR="007A0B15" w:rsidRPr="005A229C" w:rsidRDefault="007A0B15" w:rsidP="007A0B15">
            <w:pPr>
              <w:rPr>
                <w:rFonts w:ascii="Arial" w:hAnsi="Arial" w:cs="Arial"/>
              </w:rPr>
            </w:pPr>
          </w:p>
        </w:tc>
      </w:tr>
      <w:tr w:rsidR="005F5D5F" w:rsidRPr="005A229C" w14:paraId="21FA8E9D" w14:textId="77777777" w:rsidTr="00DC0B4E">
        <w:tc>
          <w:tcPr>
            <w:tcW w:w="959" w:type="dxa"/>
          </w:tcPr>
          <w:p w14:paraId="7A80D28A" w14:textId="59771444" w:rsidR="005F5D5F" w:rsidRPr="005A229C" w:rsidRDefault="005F5D5F" w:rsidP="007A0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3827" w:type="dxa"/>
          </w:tcPr>
          <w:p w14:paraId="3B19E2AE" w14:textId="132301EE" w:rsidR="005F5D5F" w:rsidRPr="005A229C" w:rsidRDefault="005F5D5F" w:rsidP="007A0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cap and collar arrangement in place?</w:t>
            </w:r>
          </w:p>
        </w:tc>
        <w:tc>
          <w:tcPr>
            <w:tcW w:w="4394" w:type="dxa"/>
          </w:tcPr>
          <w:p w14:paraId="6B1A1270" w14:textId="77777777" w:rsidR="005F5D5F" w:rsidRPr="005A229C" w:rsidRDefault="005F5D5F" w:rsidP="007A0B1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2423BBC" w14:textId="77777777" w:rsidR="005F5D5F" w:rsidRPr="005A229C" w:rsidRDefault="005F5D5F" w:rsidP="007A0B15">
            <w:pPr>
              <w:rPr>
                <w:rFonts w:ascii="Arial" w:hAnsi="Arial" w:cs="Arial"/>
              </w:rPr>
            </w:pPr>
          </w:p>
        </w:tc>
      </w:tr>
    </w:tbl>
    <w:p w14:paraId="5E05495F" w14:textId="259079AB" w:rsidR="007A0B15" w:rsidRDefault="007A0B1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4394"/>
      </w:tblGrid>
      <w:tr w:rsidR="00D91B07" w:rsidRPr="005A229C" w14:paraId="63E0DE4B" w14:textId="3D5C8F4D" w:rsidTr="00E677D6">
        <w:tc>
          <w:tcPr>
            <w:tcW w:w="959" w:type="dxa"/>
            <w:shd w:val="clear" w:color="auto" w:fill="F2F2F2" w:themeFill="background1" w:themeFillShade="F2"/>
          </w:tcPr>
          <w:p w14:paraId="1064FF40" w14:textId="6DAB41B9" w:rsidR="00D91B07" w:rsidRPr="005A229C" w:rsidRDefault="00D91B07" w:rsidP="007A0B15">
            <w:pPr>
              <w:rPr>
                <w:rFonts w:ascii="Arial" w:hAnsi="Arial" w:cs="Arial"/>
                <w:b/>
              </w:rPr>
            </w:pPr>
            <w:r w:rsidRPr="005A229C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A0A8F22" w14:textId="3103474D" w:rsidR="00D91B07" w:rsidRPr="00626283" w:rsidRDefault="00D91B07" w:rsidP="007A0B15">
            <w:pPr>
              <w:rPr>
                <w:rFonts w:ascii="Arial" w:hAnsi="Arial" w:cs="Arial"/>
                <w:bCs/>
              </w:rPr>
            </w:pPr>
            <w:r w:rsidRPr="00626283">
              <w:rPr>
                <w:rFonts w:ascii="Arial" w:hAnsi="Arial" w:cs="Arial"/>
                <w:bCs/>
              </w:rPr>
              <w:t xml:space="preserve">Agreement </w:t>
            </w:r>
            <w:r w:rsidR="00BE3209" w:rsidRPr="00626283">
              <w:rPr>
                <w:rFonts w:ascii="Arial" w:hAnsi="Arial" w:cs="Arial"/>
                <w:bCs/>
              </w:rPr>
              <w:t>between Ceding</w:t>
            </w:r>
            <w:r w:rsidRPr="00626283">
              <w:rPr>
                <w:rFonts w:ascii="Arial" w:hAnsi="Arial" w:cs="Arial"/>
                <w:bCs/>
              </w:rPr>
              <w:t xml:space="preserve"> employer and new Scheduled / Designation body</w:t>
            </w:r>
          </w:p>
          <w:p w14:paraId="0DA0FDEA" w14:textId="77777777" w:rsidR="00D91B07" w:rsidRPr="005A229C" w:rsidRDefault="00D91B07" w:rsidP="007A0B1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2AE268A7" w14:textId="77777777" w:rsidR="00D91B07" w:rsidRPr="005A229C" w:rsidRDefault="00D91B07" w:rsidP="007A0B1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7439AE4E" w14:textId="48EF998C" w:rsidR="00D91B07" w:rsidRPr="005A229C" w:rsidRDefault="00D91B07" w:rsidP="007A0B15">
            <w:pPr>
              <w:rPr>
                <w:rFonts w:ascii="Arial" w:hAnsi="Arial" w:cs="Arial"/>
              </w:rPr>
            </w:pPr>
          </w:p>
        </w:tc>
      </w:tr>
      <w:tr w:rsidR="00D91B07" w:rsidRPr="005A229C" w14:paraId="245AD293" w14:textId="444A0EA2" w:rsidTr="00E677D6">
        <w:tc>
          <w:tcPr>
            <w:tcW w:w="959" w:type="dxa"/>
          </w:tcPr>
          <w:p w14:paraId="44BCDC1B" w14:textId="77777777" w:rsidR="00D91B07" w:rsidRPr="005A229C" w:rsidRDefault="00D91B07" w:rsidP="007A0B15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>6.1</w:t>
            </w:r>
          </w:p>
        </w:tc>
        <w:tc>
          <w:tcPr>
            <w:tcW w:w="3827" w:type="dxa"/>
          </w:tcPr>
          <w:p w14:paraId="1C54D120" w14:textId="54DE286F" w:rsidR="00D91B07" w:rsidRPr="005A229C" w:rsidRDefault="00D91B07" w:rsidP="007A0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</w:t>
            </w:r>
            <w:r w:rsidRPr="005A229C">
              <w:rPr>
                <w:rFonts w:ascii="Arial" w:hAnsi="Arial" w:cs="Arial"/>
              </w:rPr>
              <w:t xml:space="preserve"> schedule been drawn up </w:t>
            </w:r>
            <w:r w:rsidRPr="00EA1A9D">
              <w:rPr>
                <w:rFonts w:ascii="Arial" w:hAnsi="Arial" w:cs="Arial"/>
              </w:rPr>
              <w:t xml:space="preserve">formalising all arrangements for </w:t>
            </w:r>
            <w:r w:rsidRPr="00EA1A9D">
              <w:rPr>
                <w:rFonts w:ascii="Arial" w:hAnsi="Arial" w:cs="Arial"/>
                <w:bCs/>
                <w:color w:val="000000" w:themeColor="text1"/>
              </w:rPr>
              <w:t xml:space="preserve">the Ceding employer(s) </w:t>
            </w:r>
            <w:r w:rsidRPr="00EA1A9D">
              <w:rPr>
                <w:rFonts w:ascii="Arial" w:hAnsi="Arial" w:cs="Arial"/>
              </w:rPr>
              <w:t>and the new Scheme employer including responsibilities in relation to the above matters</w:t>
            </w:r>
            <w:r>
              <w:rPr>
                <w:rFonts w:ascii="Arial" w:hAnsi="Arial" w:cs="Arial"/>
              </w:rPr>
              <w:t>.</w:t>
            </w:r>
          </w:p>
          <w:p w14:paraId="7CE77FE1" w14:textId="77777777" w:rsidR="00D91B07" w:rsidRPr="005A229C" w:rsidRDefault="00D91B07" w:rsidP="007A0B1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EB06DD8" w14:textId="6EF772EB" w:rsidR="00D91B07" w:rsidRPr="005A229C" w:rsidRDefault="00D91B07" w:rsidP="007A0B15">
            <w:pPr>
              <w:rPr>
                <w:rFonts w:ascii="Arial" w:hAnsi="Arial" w:cs="Arial"/>
              </w:rPr>
            </w:pPr>
            <w:r w:rsidRPr="005A229C">
              <w:rPr>
                <w:rFonts w:ascii="Arial" w:hAnsi="Arial" w:cs="Arial"/>
              </w:rPr>
              <w:t xml:space="preserve">A schedule must be drawn up and signed </w:t>
            </w:r>
            <w:r w:rsidRPr="0053570A">
              <w:rPr>
                <w:rFonts w:ascii="Arial" w:hAnsi="Arial" w:cs="Arial"/>
              </w:rPr>
              <w:t>by the</w:t>
            </w:r>
            <w:r w:rsidRPr="0053570A">
              <w:rPr>
                <w:rFonts w:ascii="Arial" w:hAnsi="Arial" w:cs="Arial"/>
                <w:bCs/>
                <w:color w:val="000000" w:themeColor="text1"/>
              </w:rPr>
              <w:t xml:space="preserve"> Ceding employer(s) (</w:t>
            </w:r>
            <w:proofErr w:type="gramStart"/>
            <w:r w:rsidR="00D912C7">
              <w:rPr>
                <w:rFonts w:ascii="Arial" w:hAnsi="Arial" w:cs="Arial"/>
                <w:bCs/>
                <w:color w:val="000000" w:themeColor="text1"/>
              </w:rPr>
              <w:t>e.g.</w:t>
            </w:r>
            <w:proofErr w:type="gramEnd"/>
            <w:r w:rsidR="00D912C7">
              <w:rPr>
                <w:rFonts w:ascii="Arial" w:hAnsi="Arial" w:cs="Arial"/>
                <w:bCs/>
                <w:color w:val="000000" w:themeColor="text1"/>
              </w:rPr>
              <w:t xml:space="preserve"> A</w:t>
            </w:r>
            <w:r w:rsidRPr="0053570A">
              <w:rPr>
                <w:rFonts w:ascii="Arial" w:hAnsi="Arial" w:cs="Arial"/>
                <w:bCs/>
                <w:color w:val="000000" w:themeColor="text1"/>
              </w:rPr>
              <w:t xml:space="preserve"> District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or Borough Council</w:t>
            </w:r>
            <w:r w:rsidRPr="0053570A">
              <w:rPr>
                <w:rFonts w:ascii="Arial" w:hAnsi="Arial" w:cs="Arial"/>
                <w:bCs/>
                <w:color w:val="000000" w:themeColor="text1"/>
              </w:rPr>
              <w:t>)</w:t>
            </w:r>
            <w:r w:rsidRPr="005357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53570A">
              <w:rPr>
                <w:rFonts w:ascii="Arial" w:hAnsi="Arial" w:cs="Arial"/>
              </w:rPr>
              <w:t>ection</w:t>
            </w:r>
            <w:r w:rsidRPr="005A229C">
              <w:rPr>
                <w:rFonts w:ascii="Arial" w:hAnsi="Arial" w:cs="Arial"/>
              </w:rPr>
              <w:t xml:space="preserve"> 151 </w:t>
            </w:r>
            <w:r>
              <w:rPr>
                <w:rFonts w:ascii="Arial" w:hAnsi="Arial" w:cs="Arial"/>
              </w:rPr>
              <w:t>O</w:t>
            </w:r>
            <w:r w:rsidRPr="005A229C">
              <w:rPr>
                <w:rFonts w:ascii="Arial" w:hAnsi="Arial" w:cs="Arial"/>
              </w:rPr>
              <w:t xml:space="preserve">fficer and the Finance Director (representing the Board of the new Scheme </w:t>
            </w:r>
            <w:r>
              <w:rPr>
                <w:rFonts w:ascii="Arial" w:hAnsi="Arial" w:cs="Arial"/>
              </w:rPr>
              <w:t>e</w:t>
            </w:r>
            <w:r w:rsidRPr="005A229C">
              <w:rPr>
                <w:rFonts w:ascii="Arial" w:hAnsi="Arial" w:cs="Arial"/>
              </w:rPr>
              <w:t>mployer) prior to transfer.</w:t>
            </w:r>
          </w:p>
        </w:tc>
        <w:tc>
          <w:tcPr>
            <w:tcW w:w="4394" w:type="dxa"/>
          </w:tcPr>
          <w:p w14:paraId="5821D0F9" w14:textId="5B126BAD" w:rsidR="00D91B07" w:rsidRPr="005A229C" w:rsidRDefault="00D91B07" w:rsidP="007A0B15">
            <w:pPr>
              <w:rPr>
                <w:rFonts w:ascii="Arial" w:hAnsi="Arial" w:cs="Arial"/>
              </w:rPr>
            </w:pPr>
          </w:p>
        </w:tc>
      </w:tr>
    </w:tbl>
    <w:p w14:paraId="7C9806CB" w14:textId="77777777" w:rsidR="00626283" w:rsidRDefault="00626283" w:rsidP="00626283">
      <w:pPr>
        <w:pStyle w:val="ListParagraph"/>
        <w:ind w:left="1440"/>
        <w:rPr>
          <w:rFonts w:ascii="Arial" w:hAnsi="Arial" w:cs="Arial"/>
        </w:rPr>
      </w:pPr>
    </w:p>
    <w:p w14:paraId="76E5C289" w14:textId="77777777" w:rsidR="00626283" w:rsidRDefault="00626283" w:rsidP="00626283">
      <w:pPr>
        <w:pStyle w:val="ListParagraph"/>
        <w:ind w:left="1440"/>
        <w:rPr>
          <w:rFonts w:ascii="Arial" w:hAnsi="Arial" w:cs="Arial"/>
        </w:rPr>
      </w:pPr>
    </w:p>
    <w:p w14:paraId="29D875E5" w14:textId="77777777" w:rsidR="00626283" w:rsidRDefault="00626283" w:rsidP="00626283">
      <w:pPr>
        <w:pStyle w:val="ListParagraph"/>
        <w:ind w:left="1440"/>
        <w:rPr>
          <w:rFonts w:ascii="Arial" w:hAnsi="Arial" w:cs="Arial"/>
        </w:rPr>
      </w:pPr>
    </w:p>
    <w:p w14:paraId="035F2783" w14:textId="4D8B85C7" w:rsidR="00B00983" w:rsidRPr="00836831" w:rsidRDefault="00626283" w:rsidP="003A786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0983" w:rsidRPr="00836831">
        <w:rPr>
          <w:rFonts w:ascii="Arial" w:hAnsi="Arial" w:cs="Arial"/>
        </w:rPr>
        <w:t>igned [in real ink] for and on behalf of the *(Enter new</w:t>
      </w:r>
      <w:r w:rsidR="00033A7E" w:rsidRPr="00836831">
        <w:rPr>
          <w:rFonts w:ascii="Arial" w:hAnsi="Arial" w:cs="Arial"/>
        </w:rPr>
        <w:t xml:space="preserve"> Local Authority Trading Compan</w:t>
      </w:r>
      <w:r w:rsidR="0009057C" w:rsidRPr="00836831">
        <w:rPr>
          <w:rFonts w:ascii="Arial" w:hAnsi="Arial" w:cs="Arial"/>
        </w:rPr>
        <w:t>y</w:t>
      </w:r>
      <w:r w:rsidR="00033A7E" w:rsidRPr="00836831">
        <w:rPr>
          <w:rFonts w:ascii="Arial" w:hAnsi="Arial" w:cs="Arial"/>
        </w:rPr>
        <w:t xml:space="preserve"> (</w:t>
      </w:r>
      <w:r w:rsidR="00B00983" w:rsidRPr="00836831">
        <w:rPr>
          <w:rFonts w:ascii="Arial" w:hAnsi="Arial" w:cs="Arial"/>
        </w:rPr>
        <w:t>LATCO</w:t>
      </w:r>
      <w:r w:rsidR="00033A7E" w:rsidRPr="00836831">
        <w:rPr>
          <w:rFonts w:ascii="Arial" w:hAnsi="Arial" w:cs="Arial"/>
        </w:rPr>
        <w:t>)</w:t>
      </w:r>
      <w:r w:rsidR="00B00983" w:rsidRPr="00836831">
        <w:rPr>
          <w:rFonts w:ascii="Arial" w:hAnsi="Arial" w:cs="Arial"/>
        </w:rPr>
        <w:t xml:space="preserve"> name* ……………………………………………….</w:t>
      </w:r>
    </w:p>
    <w:p w14:paraId="7F237D70" w14:textId="0CB2B485" w:rsidR="00B00983" w:rsidRPr="00836831" w:rsidRDefault="00B00983" w:rsidP="003A7860">
      <w:pPr>
        <w:ind w:left="720" w:firstLine="720"/>
        <w:rPr>
          <w:rFonts w:ascii="Arial" w:hAnsi="Arial" w:cs="Arial"/>
        </w:rPr>
      </w:pPr>
      <w:r w:rsidRPr="00836831">
        <w:rPr>
          <w:rFonts w:ascii="Arial" w:hAnsi="Arial" w:cs="Arial"/>
        </w:rPr>
        <w:t>Name of above signatory in capitals……………………………………………………………</w:t>
      </w:r>
    </w:p>
    <w:p w14:paraId="2A6D3D8C" w14:textId="559D119A" w:rsidR="00B00983" w:rsidRPr="00836831" w:rsidRDefault="00B00983" w:rsidP="003A7860">
      <w:pPr>
        <w:ind w:left="1440"/>
        <w:rPr>
          <w:rFonts w:ascii="Arial" w:hAnsi="Arial" w:cs="Arial"/>
        </w:rPr>
      </w:pPr>
      <w:r w:rsidRPr="00836831">
        <w:rPr>
          <w:rFonts w:ascii="Arial" w:hAnsi="Arial" w:cs="Arial"/>
        </w:rPr>
        <w:t>Title of signatory………………………………………………………………………………</w:t>
      </w:r>
      <w:proofErr w:type="gramStart"/>
      <w:r w:rsidRPr="00836831">
        <w:rPr>
          <w:rFonts w:ascii="Arial" w:hAnsi="Arial" w:cs="Arial"/>
        </w:rPr>
        <w:t>…..</w:t>
      </w:r>
      <w:proofErr w:type="gramEnd"/>
    </w:p>
    <w:p w14:paraId="3BDEF5C2" w14:textId="77777777" w:rsidR="00B00983" w:rsidRPr="00836831" w:rsidRDefault="00B00983" w:rsidP="003A7860">
      <w:pPr>
        <w:ind w:left="720" w:firstLine="720"/>
        <w:rPr>
          <w:rFonts w:ascii="Arial" w:hAnsi="Arial" w:cs="Arial"/>
        </w:rPr>
      </w:pPr>
      <w:r w:rsidRPr="00836831">
        <w:rPr>
          <w:rFonts w:ascii="Arial" w:hAnsi="Arial" w:cs="Arial"/>
        </w:rPr>
        <w:t>Date…………………………………………………………………………………………………</w:t>
      </w:r>
    </w:p>
    <w:p w14:paraId="3A8D2133" w14:textId="7D46E3FB" w:rsidR="003A7860" w:rsidRPr="00836831" w:rsidRDefault="00B00983" w:rsidP="003A786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836831">
        <w:rPr>
          <w:rFonts w:ascii="Arial" w:hAnsi="Arial" w:cs="Arial"/>
        </w:rPr>
        <w:t xml:space="preserve">Signed [in real ink] for and on behalf of </w:t>
      </w:r>
      <w:r w:rsidR="0089106D" w:rsidRPr="00836831">
        <w:rPr>
          <w:rFonts w:ascii="Arial" w:hAnsi="Arial" w:cs="Arial"/>
        </w:rPr>
        <w:t>Ceding employer (insert name)</w:t>
      </w:r>
      <w:r w:rsidRPr="00836831">
        <w:rPr>
          <w:rFonts w:ascii="Arial" w:hAnsi="Arial" w:cs="Arial"/>
        </w:rPr>
        <w:t xml:space="preserve"> ……………………………………………….</w:t>
      </w:r>
    </w:p>
    <w:p w14:paraId="4D817656" w14:textId="24A72041" w:rsidR="00B00983" w:rsidRPr="00836831" w:rsidRDefault="00B00983" w:rsidP="003A7860">
      <w:pPr>
        <w:ind w:left="720" w:firstLine="720"/>
        <w:rPr>
          <w:rFonts w:ascii="Arial" w:hAnsi="Arial" w:cs="Arial"/>
        </w:rPr>
      </w:pPr>
      <w:r w:rsidRPr="00836831">
        <w:rPr>
          <w:rFonts w:ascii="Arial" w:hAnsi="Arial" w:cs="Arial"/>
        </w:rPr>
        <w:t>Name of above signatory in capitals……………………………………………………………</w:t>
      </w:r>
    </w:p>
    <w:p w14:paraId="4BA2F93E" w14:textId="77777777" w:rsidR="003A7860" w:rsidRPr="00836831" w:rsidRDefault="003A7860" w:rsidP="003A7860">
      <w:pPr>
        <w:ind w:left="1440"/>
        <w:rPr>
          <w:rFonts w:ascii="Arial" w:hAnsi="Arial" w:cs="Arial"/>
        </w:rPr>
      </w:pPr>
      <w:r w:rsidRPr="00836831">
        <w:rPr>
          <w:rFonts w:ascii="Arial" w:hAnsi="Arial" w:cs="Arial"/>
        </w:rPr>
        <w:t>Title of signatory………………………………………………………………………………</w:t>
      </w:r>
      <w:proofErr w:type="gramStart"/>
      <w:r w:rsidRPr="00836831">
        <w:rPr>
          <w:rFonts w:ascii="Arial" w:hAnsi="Arial" w:cs="Arial"/>
        </w:rPr>
        <w:t>…..</w:t>
      </w:r>
      <w:proofErr w:type="gramEnd"/>
    </w:p>
    <w:p w14:paraId="4640AC9E" w14:textId="77777777" w:rsidR="003A7860" w:rsidRPr="00836831" w:rsidRDefault="003A7860" w:rsidP="003A7860">
      <w:pPr>
        <w:ind w:left="720" w:firstLine="720"/>
        <w:rPr>
          <w:rFonts w:ascii="Arial" w:hAnsi="Arial" w:cs="Arial"/>
        </w:rPr>
      </w:pPr>
      <w:r w:rsidRPr="00836831">
        <w:rPr>
          <w:rFonts w:ascii="Arial" w:hAnsi="Arial" w:cs="Arial"/>
        </w:rPr>
        <w:t>Date…………………………………………………………………………………………………</w:t>
      </w:r>
    </w:p>
    <w:p w14:paraId="36B7C0C8" w14:textId="4C6131DE" w:rsidR="00A97ED6" w:rsidRPr="005A229C" w:rsidRDefault="00A97ED6">
      <w:pPr>
        <w:rPr>
          <w:rFonts w:ascii="Arial" w:hAnsi="Arial" w:cs="Arial"/>
          <w:b/>
        </w:rPr>
      </w:pPr>
    </w:p>
    <w:sectPr w:rsidR="00A97ED6" w:rsidRPr="005A229C" w:rsidSect="00815B6D">
      <w:pgSz w:w="16840" w:h="11907" w:orient="landscape" w:code="9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3937" w14:textId="77777777" w:rsidR="00E7392F" w:rsidRDefault="00E7392F" w:rsidP="00D91B07">
      <w:pPr>
        <w:spacing w:after="0" w:line="240" w:lineRule="auto"/>
      </w:pPr>
      <w:r>
        <w:separator/>
      </w:r>
    </w:p>
  </w:endnote>
  <w:endnote w:type="continuationSeparator" w:id="0">
    <w:p w14:paraId="27582DED" w14:textId="77777777" w:rsidR="00E7392F" w:rsidRDefault="00E7392F" w:rsidP="00D9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97D6" w14:textId="77777777" w:rsidR="00E7392F" w:rsidRDefault="00E7392F" w:rsidP="00D91B07">
      <w:pPr>
        <w:spacing w:after="0" w:line="240" w:lineRule="auto"/>
      </w:pPr>
      <w:r>
        <w:separator/>
      </w:r>
    </w:p>
  </w:footnote>
  <w:footnote w:type="continuationSeparator" w:id="0">
    <w:p w14:paraId="7542AE20" w14:textId="77777777" w:rsidR="00E7392F" w:rsidRDefault="00E7392F" w:rsidP="00D9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00FE"/>
    <w:multiLevelType w:val="hybridMultilevel"/>
    <w:tmpl w:val="83D873E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51625E7"/>
    <w:multiLevelType w:val="hybridMultilevel"/>
    <w:tmpl w:val="E7C06788"/>
    <w:lvl w:ilvl="0" w:tplc="5C94211E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8230C35"/>
    <w:multiLevelType w:val="hybridMultilevel"/>
    <w:tmpl w:val="001A2D38"/>
    <w:lvl w:ilvl="0" w:tplc="5C94211E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D2C69"/>
    <w:multiLevelType w:val="multilevel"/>
    <w:tmpl w:val="CAF6E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33B6282"/>
    <w:multiLevelType w:val="hybridMultilevel"/>
    <w:tmpl w:val="2A20933A"/>
    <w:lvl w:ilvl="0" w:tplc="B91E38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C4E8A"/>
    <w:multiLevelType w:val="hybridMultilevel"/>
    <w:tmpl w:val="AF46C6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2142521">
    <w:abstractNumId w:val="4"/>
  </w:num>
  <w:num w:numId="2" w16cid:durableId="1285960300">
    <w:abstractNumId w:val="0"/>
  </w:num>
  <w:num w:numId="3" w16cid:durableId="1818691961">
    <w:abstractNumId w:val="5"/>
  </w:num>
  <w:num w:numId="4" w16cid:durableId="1398438883">
    <w:abstractNumId w:val="1"/>
  </w:num>
  <w:num w:numId="5" w16cid:durableId="965811958">
    <w:abstractNumId w:val="2"/>
  </w:num>
  <w:num w:numId="6" w16cid:durableId="128593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751"/>
    <w:rsid w:val="00006A6F"/>
    <w:rsid w:val="000245CD"/>
    <w:rsid w:val="00033A7E"/>
    <w:rsid w:val="0005231B"/>
    <w:rsid w:val="000861E9"/>
    <w:rsid w:val="0009057C"/>
    <w:rsid w:val="000A067D"/>
    <w:rsid w:val="000B2CA7"/>
    <w:rsid w:val="000C5CE7"/>
    <w:rsid w:val="000D0137"/>
    <w:rsid w:val="000D6908"/>
    <w:rsid w:val="001338AA"/>
    <w:rsid w:val="00141816"/>
    <w:rsid w:val="00167FA8"/>
    <w:rsid w:val="001A7222"/>
    <w:rsid w:val="002408BB"/>
    <w:rsid w:val="00250830"/>
    <w:rsid w:val="00252CEF"/>
    <w:rsid w:val="00260684"/>
    <w:rsid w:val="00286E1D"/>
    <w:rsid w:val="002A0CB3"/>
    <w:rsid w:val="002A205F"/>
    <w:rsid w:val="003117D8"/>
    <w:rsid w:val="00325B8A"/>
    <w:rsid w:val="00326627"/>
    <w:rsid w:val="003666D2"/>
    <w:rsid w:val="00383D74"/>
    <w:rsid w:val="00392581"/>
    <w:rsid w:val="003A7860"/>
    <w:rsid w:val="003C47F0"/>
    <w:rsid w:val="003D1B4A"/>
    <w:rsid w:val="003D2485"/>
    <w:rsid w:val="003F09A9"/>
    <w:rsid w:val="00432E17"/>
    <w:rsid w:val="00454696"/>
    <w:rsid w:val="0046170E"/>
    <w:rsid w:val="00467B2A"/>
    <w:rsid w:val="00477154"/>
    <w:rsid w:val="0048094E"/>
    <w:rsid w:val="00495828"/>
    <w:rsid w:val="004D3A10"/>
    <w:rsid w:val="004F6FDC"/>
    <w:rsid w:val="0053570A"/>
    <w:rsid w:val="00572A80"/>
    <w:rsid w:val="00573751"/>
    <w:rsid w:val="00581121"/>
    <w:rsid w:val="00590069"/>
    <w:rsid w:val="00594D1E"/>
    <w:rsid w:val="005A229C"/>
    <w:rsid w:val="005C1304"/>
    <w:rsid w:val="005C645B"/>
    <w:rsid w:val="005E1DA9"/>
    <w:rsid w:val="005E4F64"/>
    <w:rsid w:val="005E7491"/>
    <w:rsid w:val="005F5D5F"/>
    <w:rsid w:val="00620178"/>
    <w:rsid w:val="0062247D"/>
    <w:rsid w:val="00626283"/>
    <w:rsid w:val="00630CBF"/>
    <w:rsid w:val="006401D7"/>
    <w:rsid w:val="00652E2A"/>
    <w:rsid w:val="00684AAB"/>
    <w:rsid w:val="00692B30"/>
    <w:rsid w:val="006950B9"/>
    <w:rsid w:val="006D34D0"/>
    <w:rsid w:val="006E6A78"/>
    <w:rsid w:val="006F6287"/>
    <w:rsid w:val="006F662D"/>
    <w:rsid w:val="00743751"/>
    <w:rsid w:val="0076500F"/>
    <w:rsid w:val="00765220"/>
    <w:rsid w:val="00770DBE"/>
    <w:rsid w:val="00777F6A"/>
    <w:rsid w:val="007A0B15"/>
    <w:rsid w:val="007A333C"/>
    <w:rsid w:val="007A72CB"/>
    <w:rsid w:val="007E6541"/>
    <w:rsid w:val="007E6741"/>
    <w:rsid w:val="007F726E"/>
    <w:rsid w:val="00805D20"/>
    <w:rsid w:val="00810602"/>
    <w:rsid w:val="00815B6D"/>
    <w:rsid w:val="00820006"/>
    <w:rsid w:val="00832F85"/>
    <w:rsid w:val="00834EBB"/>
    <w:rsid w:val="00836831"/>
    <w:rsid w:val="00875996"/>
    <w:rsid w:val="00877B3E"/>
    <w:rsid w:val="0089106D"/>
    <w:rsid w:val="00894FF6"/>
    <w:rsid w:val="00895096"/>
    <w:rsid w:val="008E3FA7"/>
    <w:rsid w:val="009027F1"/>
    <w:rsid w:val="00932BEA"/>
    <w:rsid w:val="00933F4A"/>
    <w:rsid w:val="009444AB"/>
    <w:rsid w:val="009503A3"/>
    <w:rsid w:val="009514B3"/>
    <w:rsid w:val="00960629"/>
    <w:rsid w:val="00960854"/>
    <w:rsid w:val="00961E98"/>
    <w:rsid w:val="0099674B"/>
    <w:rsid w:val="009973A8"/>
    <w:rsid w:val="009A6E48"/>
    <w:rsid w:val="009D0A2E"/>
    <w:rsid w:val="009D171B"/>
    <w:rsid w:val="009E26A7"/>
    <w:rsid w:val="00A05036"/>
    <w:rsid w:val="00A50751"/>
    <w:rsid w:val="00A90E19"/>
    <w:rsid w:val="00A91E08"/>
    <w:rsid w:val="00A97ED6"/>
    <w:rsid w:val="00AB1043"/>
    <w:rsid w:val="00AE55E0"/>
    <w:rsid w:val="00AF4EA9"/>
    <w:rsid w:val="00B00983"/>
    <w:rsid w:val="00B0110C"/>
    <w:rsid w:val="00B03BD4"/>
    <w:rsid w:val="00B1639F"/>
    <w:rsid w:val="00B35068"/>
    <w:rsid w:val="00B653E8"/>
    <w:rsid w:val="00B668A3"/>
    <w:rsid w:val="00B96C98"/>
    <w:rsid w:val="00BB4949"/>
    <w:rsid w:val="00BC1921"/>
    <w:rsid w:val="00BC7582"/>
    <w:rsid w:val="00BD2E84"/>
    <w:rsid w:val="00BE3209"/>
    <w:rsid w:val="00BF0A0A"/>
    <w:rsid w:val="00C20365"/>
    <w:rsid w:val="00C42156"/>
    <w:rsid w:val="00C6054D"/>
    <w:rsid w:val="00CB11DC"/>
    <w:rsid w:val="00CB1F54"/>
    <w:rsid w:val="00CB5D4E"/>
    <w:rsid w:val="00CC6718"/>
    <w:rsid w:val="00CE218B"/>
    <w:rsid w:val="00CE25F8"/>
    <w:rsid w:val="00D02811"/>
    <w:rsid w:val="00D036C1"/>
    <w:rsid w:val="00D06A33"/>
    <w:rsid w:val="00D118DB"/>
    <w:rsid w:val="00D31411"/>
    <w:rsid w:val="00D43851"/>
    <w:rsid w:val="00D46D67"/>
    <w:rsid w:val="00D62C51"/>
    <w:rsid w:val="00D912C7"/>
    <w:rsid w:val="00D91B07"/>
    <w:rsid w:val="00DA07A2"/>
    <w:rsid w:val="00DD6607"/>
    <w:rsid w:val="00E01B28"/>
    <w:rsid w:val="00E113BF"/>
    <w:rsid w:val="00E33EEE"/>
    <w:rsid w:val="00E42B02"/>
    <w:rsid w:val="00E677D6"/>
    <w:rsid w:val="00E7392F"/>
    <w:rsid w:val="00E96449"/>
    <w:rsid w:val="00EA1A9D"/>
    <w:rsid w:val="00EB7B48"/>
    <w:rsid w:val="00EC5381"/>
    <w:rsid w:val="00ED75F5"/>
    <w:rsid w:val="00EF244F"/>
    <w:rsid w:val="00F0542F"/>
    <w:rsid w:val="00F63802"/>
    <w:rsid w:val="00F64379"/>
    <w:rsid w:val="00FA482F"/>
    <w:rsid w:val="00F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2BB7"/>
  <w15:docId w15:val="{64BF9F39-5ECA-4273-BEB3-017ECC14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751"/>
    <w:pPr>
      <w:ind w:left="720"/>
      <w:contextualSpacing/>
    </w:pPr>
  </w:style>
  <w:style w:type="character" w:styleId="Hyperlink">
    <w:name w:val="Hyperlink"/>
    <w:uiPriority w:val="99"/>
    <w:rsid w:val="00BB494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949"/>
    <w:rPr>
      <w:color w:val="800080" w:themeColor="followedHyperlink"/>
      <w:u w:val="single"/>
    </w:rPr>
  </w:style>
  <w:style w:type="paragraph" w:customStyle="1" w:styleId="head2">
    <w:name w:val="head2"/>
    <w:basedOn w:val="Normal"/>
    <w:uiPriority w:val="99"/>
    <w:rsid w:val="00BB4949"/>
    <w:pPr>
      <w:spacing w:after="0" w:line="240" w:lineRule="auto"/>
      <w:jc w:val="center"/>
    </w:pPr>
    <w:rPr>
      <w:rFonts w:ascii="Bookman" w:eastAsia="Times New Roman" w:hAnsi="Bookman" w:cs="Times New Roman"/>
      <w:b/>
      <w:sz w:val="24"/>
      <w:szCs w:val="20"/>
      <w:u w:val="single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0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3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A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62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37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B11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E677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1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07"/>
  </w:style>
  <w:style w:type="paragraph" w:styleId="Footer">
    <w:name w:val="footer"/>
    <w:basedOn w:val="Normal"/>
    <w:link w:val="FooterChar"/>
    <w:uiPriority w:val="99"/>
    <w:unhideWhenUsed/>
    <w:rsid w:val="00D91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850162">
      <w:bodyDiv w:val="1"/>
      <w:marLeft w:val="0"/>
      <w:marRight w:val="0"/>
      <w:marTop w:val="0"/>
      <w:marBottom w:val="0"/>
      <w:divBdr>
        <w:top w:val="single" w:sz="18" w:space="15" w:color="003366"/>
        <w:left w:val="none" w:sz="0" w:space="0" w:color="auto"/>
        <w:bottom w:val="none" w:sz="0" w:space="0" w:color="auto"/>
        <w:right w:val="none" w:sz="0" w:space="0" w:color="auto"/>
      </w:divBdr>
      <w:divsChild>
        <w:div w:id="622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ntpensionfund.co.uk/__data/assets/pdf_file/0008/149165/Kent-Pension-Fund-Funding-Strategy-Statemen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gpsregs.org/index.php/regs-legislation/timeline-regulations-201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kentpensionfund.co.uk/local-government/becoming-a-fund-employer/academies/completion-notes-for-the-data-capture-spreadshee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entpensionfund.co.uk/local-government/becoming-a-fund-employer/commercial-company-or-charity-admission-body/admission-body-time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8BF2FE64384BB5E25243597CD953" ma:contentTypeVersion="0" ma:contentTypeDescription="Create a new document." ma:contentTypeScope="" ma:versionID="03e5e32eca3b9f436161f9445c82fc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a912827-bae3-40cb-8146-7920e969c222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D16BE-938B-4C74-8463-38DEAD96E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70BBA7-F070-47C9-A321-28BCCC559B8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1A7B72F-02E5-4A2C-9352-B9A597306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205D60-334C-4BD3-8078-DD8389C933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1309</Words>
  <Characters>7463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Mings, Alison - BSS FP</dc:creator>
  <cp:lastModifiedBy>Karen Brooker  - CED F</cp:lastModifiedBy>
  <cp:revision>2</cp:revision>
  <dcterms:created xsi:type="dcterms:W3CDTF">2024-01-29T13:24:00Z</dcterms:created>
  <dcterms:modified xsi:type="dcterms:W3CDTF">2024-01-29T13:24:00Z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0x01010077998BF2FE64384BB5E25243597CD953</vt:lpwstr>
  </property>
  <property fmtid="{D5CDD505-2E9C-101B-9397-08002B2CF9AE}" pid="3" name="_dlc_policyId">
    <vt:lpwstr>0x010100D29348FB8CE8944EBAE2789F1856BAC301|-1093600058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</Properties>
</file>